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7B23" w:rsidRDefault="00E97B23" w:rsidP="00E97B23">
      <w:pPr>
        <w:adjustRightInd w:val="0"/>
        <w:snapToGrid w:val="0"/>
        <w:spacing w:line="600" w:lineRule="exact"/>
        <w:rPr>
          <w:rFonts w:ascii="黑体" w:eastAsia="黑体" w:hAnsi="黑体"/>
          <w:b/>
          <w:kern w:val="0"/>
          <w:sz w:val="44"/>
          <w:szCs w:val="44"/>
        </w:rPr>
      </w:pPr>
      <w:r>
        <w:rPr>
          <w:rFonts w:ascii="仿宋_GB2312" w:eastAsia="仿宋_GB2312" w:hint="eastAsia"/>
          <w:b/>
          <w:sz w:val="30"/>
          <w:szCs w:val="30"/>
        </w:rPr>
        <w:t>附件2</w:t>
      </w:r>
    </w:p>
    <w:p w:rsidR="00571E9D" w:rsidRDefault="00571E9D">
      <w:pPr>
        <w:adjustRightInd w:val="0"/>
        <w:snapToGrid w:val="0"/>
        <w:spacing w:line="600" w:lineRule="exact"/>
        <w:rPr>
          <w:rFonts w:ascii="黑体" w:eastAsia="黑体" w:hAnsi="黑体"/>
          <w:b/>
          <w:color w:val="000000" w:themeColor="text1"/>
          <w:sz w:val="44"/>
          <w:szCs w:val="44"/>
        </w:rPr>
      </w:pPr>
    </w:p>
    <w:p w:rsidR="00571E9D" w:rsidRDefault="003343B1">
      <w:pPr>
        <w:spacing w:line="560" w:lineRule="exact"/>
        <w:jc w:val="center"/>
        <w:outlineLvl w:val="0"/>
        <w:rPr>
          <w:rFonts w:ascii="黑体" w:eastAsia="黑体" w:hAnsi="黑体" w:cs="Times New Roman"/>
          <w:b/>
          <w:sz w:val="44"/>
          <w:szCs w:val="44"/>
        </w:rPr>
      </w:pPr>
      <w:r>
        <w:rPr>
          <w:rFonts w:ascii="黑体" w:eastAsia="黑体" w:hAnsi="黑体" w:cs="Times New Roman" w:hint="eastAsia"/>
          <w:b/>
          <w:sz w:val="44"/>
          <w:szCs w:val="44"/>
        </w:rPr>
        <w:t>《上海证券交易所上市公司重大资产重组审核规则》起草说明</w:t>
      </w:r>
    </w:p>
    <w:p w:rsidR="00571E9D" w:rsidRDefault="00571E9D">
      <w:pPr>
        <w:adjustRightInd w:val="0"/>
        <w:snapToGrid w:val="0"/>
        <w:spacing w:line="600" w:lineRule="exact"/>
        <w:ind w:firstLineChars="200" w:firstLine="600"/>
        <w:jc w:val="left"/>
        <w:rPr>
          <w:rFonts w:ascii="仿宋_GB2312" w:eastAsia="仿宋_GB2312"/>
          <w:color w:val="000000" w:themeColor="text1"/>
          <w:sz w:val="30"/>
          <w:szCs w:val="30"/>
        </w:rPr>
      </w:pPr>
    </w:p>
    <w:p w:rsidR="00571E9D" w:rsidRDefault="003343B1">
      <w:pPr>
        <w:snapToGrid w:val="0"/>
        <w:spacing w:line="600" w:lineRule="exact"/>
        <w:ind w:firstLine="600"/>
        <w:rPr>
          <w:rFonts w:eastAsia="仿宋_GB2312"/>
          <w:sz w:val="30"/>
          <w:szCs w:val="30"/>
        </w:rPr>
      </w:pPr>
      <w:r>
        <w:rPr>
          <w:rFonts w:eastAsia="仿宋_GB2312"/>
          <w:sz w:val="30"/>
          <w:szCs w:val="30"/>
        </w:rPr>
        <w:t>为</w:t>
      </w:r>
      <w:r>
        <w:rPr>
          <w:rFonts w:eastAsia="仿宋_GB2312" w:hint="eastAsia"/>
          <w:sz w:val="30"/>
          <w:szCs w:val="30"/>
        </w:rPr>
        <w:t>了</w:t>
      </w:r>
      <w:r>
        <w:rPr>
          <w:rFonts w:eastAsia="仿宋_GB2312"/>
          <w:sz w:val="30"/>
          <w:szCs w:val="30"/>
        </w:rPr>
        <w:t>落实</w:t>
      </w:r>
      <w:r>
        <w:rPr>
          <w:rFonts w:eastAsia="仿宋_GB2312" w:hint="eastAsia"/>
          <w:sz w:val="30"/>
          <w:szCs w:val="30"/>
        </w:rPr>
        <w:t>党</w:t>
      </w:r>
      <w:r>
        <w:rPr>
          <w:rFonts w:eastAsia="仿宋_GB2312"/>
          <w:sz w:val="30"/>
          <w:szCs w:val="30"/>
        </w:rPr>
        <w:t>中央</w:t>
      </w:r>
      <w:r w:rsidR="00400128">
        <w:rPr>
          <w:rFonts w:eastAsia="仿宋_GB2312" w:hint="eastAsia"/>
          <w:sz w:val="30"/>
          <w:szCs w:val="30"/>
        </w:rPr>
        <w:t>、</w:t>
      </w:r>
      <w:r>
        <w:rPr>
          <w:rFonts w:eastAsia="仿宋_GB2312" w:hint="eastAsia"/>
          <w:sz w:val="30"/>
          <w:szCs w:val="30"/>
        </w:rPr>
        <w:t>国务院</w:t>
      </w:r>
      <w:r>
        <w:rPr>
          <w:rFonts w:eastAsia="仿宋_GB2312"/>
          <w:sz w:val="30"/>
          <w:szCs w:val="30"/>
        </w:rPr>
        <w:t>关于全面实行股票发行注册制的决策部署，完善要素资源市场化配置体制机制，根据</w:t>
      </w:r>
      <w:r>
        <w:rPr>
          <w:rFonts w:ascii="仿宋_GB2312" w:eastAsia="仿宋_GB2312" w:hint="eastAsia"/>
          <w:color w:val="000000" w:themeColor="text1"/>
          <w:sz w:val="30"/>
          <w:szCs w:val="30"/>
        </w:rPr>
        <w:t>《上市公司重大资产重组管理办法》（以下简称《重组办法》）、</w:t>
      </w:r>
      <w:r>
        <w:rPr>
          <w:rFonts w:ascii="仿宋_GB2312" w:eastAsia="仿宋_GB2312" w:hint="eastAsia"/>
          <w:sz w:val="30"/>
          <w:szCs w:val="30"/>
        </w:rPr>
        <w:t>《科创板上市公司重大资产重组特别规定》</w:t>
      </w:r>
      <w:r>
        <w:rPr>
          <w:rFonts w:eastAsia="仿宋_GB2312"/>
          <w:sz w:val="30"/>
          <w:szCs w:val="30"/>
        </w:rPr>
        <w:t>及其他相关规定，本所制定了</w:t>
      </w:r>
      <w:r>
        <w:rPr>
          <w:rFonts w:ascii="仿宋_GB2312" w:eastAsia="仿宋_GB2312" w:hint="eastAsia"/>
          <w:color w:val="000000" w:themeColor="text1"/>
          <w:sz w:val="30"/>
          <w:szCs w:val="30"/>
        </w:rPr>
        <w:t>《上海证券交易所上市公司重大资产重组审核规则》（以下简称《重组审核规则》）</w:t>
      </w:r>
      <w:r>
        <w:rPr>
          <w:rFonts w:eastAsia="仿宋_GB2312"/>
          <w:sz w:val="30"/>
          <w:szCs w:val="30"/>
        </w:rPr>
        <w:t>。现将有关情况说明如下</w:t>
      </w:r>
      <w:r>
        <w:rPr>
          <w:rFonts w:eastAsia="仿宋_GB2312" w:hint="eastAsia"/>
          <w:sz w:val="30"/>
          <w:szCs w:val="30"/>
        </w:rPr>
        <w:t>：</w:t>
      </w:r>
    </w:p>
    <w:p w:rsidR="00571E9D" w:rsidRDefault="003343B1">
      <w:pPr>
        <w:snapToGrid w:val="0"/>
        <w:spacing w:line="600" w:lineRule="exact"/>
        <w:ind w:firstLineChars="200" w:firstLine="602"/>
        <w:outlineLvl w:val="0"/>
        <w:rPr>
          <w:rFonts w:ascii="黑体" w:eastAsia="黑体" w:hAnsi="黑体" w:cs="Times New Roman"/>
          <w:b/>
          <w:sz w:val="30"/>
          <w:szCs w:val="30"/>
        </w:rPr>
      </w:pPr>
      <w:r>
        <w:rPr>
          <w:rFonts w:ascii="黑体" w:eastAsia="黑体" w:hAnsi="黑体" w:cs="Times New Roman" w:hint="eastAsia"/>
          <w:b/>
          <w:sz w:val="30"/>
          <w:szCs w:val="30"/>
        </w:rPr>
        <w:t>一、起草思路</w:t>
      </w:r>
    </w:p>
    <w:p w:rsidR="00571E9D" w:rsidRDefault="003343B1">
      <w:pPr>
        <w:adjustRightInd w:val="0"/>
        <w:snapToGrid w:val="0"/>
        <w:spacing w:line="600" w:lineRule="exact"/>
        <w:ind w:firstLineChars="200" w:firstLine="602"/>
        <w:rPr>
          <w:rFonts w:eastAsia="仿宋_GB2312"/>
          <w:sz w:val="30"/>
          <w:szCs w:val="30"/>
        </w:rPr>
      </w:pPr>
      <w:r>
        <w:rPr>
          <w:rFonts w:ascii="楷体_GB2312" w:eastAsia="楷体_GB2312" w:hAnsi="Times New Roman" w:cs="Times New Roman" w:hint="eastAsia"/>
          <w:b/>
          <w:sz w:val="30"/>
          <w:szCs w:val="30"/>
        </w:rPr>
        <w:t>（一）整体沿用科创板重组审核安排。</w:t>
      </w:r>
      <w:r>
        <w:rPr>
          <w:rFonts w:eastAsia="仿宋_GB2312" w:hint="eastAsia"/>
          <w:sz w:val="30"/>
          <w:szCs w:val="30"/>
        </w:rPr>
        <w:t>前期，科创板试点注册制相关制度安排为全面实行注册制打下了坚实基础。《重组审核规则》整体沿用了《上海证券交易所科创板上市公司重大资产重组审核规则》（以下简称《科创板重组审核规则》）的体例与主要制度安排，将科创板上市公司重大资产重组的信息披露要求以及发行股份购买资产的审核程序、机制等，扩展适用至主板，并作了优化完善。</w:t>
      </w:r>
    </w:p>
    <w:p w:rsidR="00571E9D" w:rsidRDefault="003343B1">
      <w:pPr>
        <w:adjustRightInd w:val="0"/>
        <w:snapToGrid w:val="0"/>
        <w:spacing w:line="600" w:lineRule="exact"/>
        <w:ind w:firstLineChars="200" w:firstLine="602"/>
        <w:rPr>
          <w:rFonts w:eastAsia="仿宋_GB2312"/>
          <w:sz w:val="30"/>
          <w:szCs w:val="30"/>
        </w:rPr>
      </w:pPr>
      <w:r>
        <w:rPr>
          <w:rFonts w:ascii="楷体_GB2312" w:eastAsia="楷体_GB2312" w:hAnsi="Times New Roman" w:cs="Times New Roman" w:hint="eastAsia"/>
          <w:b/>
          <w:sz w:val="30"/>
          <w:szCs w:val="30"/>
        </w:rPr>
        <w:t>（二）综合考虑板块特点和要求作出差异化制度安排。</w:t>
      </w:r>
      <w:r>
        <w:rPr>
          <w:rFonts w:eastAsia="仿宋_GB2312" w:hint="eastAsia"/>
          <w:sz w:val="30"/>
          <w:szCs w:val="30"/>
        </w:rPr>
        <w:t>考虑到主板和科创板的上市条件差异，对主板和科创板重组上市标的资产的条件作出差异化安排；综合考虑板块特点和要求，保留科创板对于拟购买资产板块定位和协同效应的要求，保留主板和科</w:t>
      </w:r>
      <w:r>
        <w:rPr>
          <w:rFonts w:eastAsia="仿宋_GB2312" w:hint="eastAsia"/>
          <w:sz w:val="30"/>
          <w:szCs w:val="30"/>
        </w:rPr>
        <w:lastRenderedPageBreak/>
        <w:t>创板关于小额快速审核机制的适用条件差异。</w:t>
      </w:r>
    </w:p>
    <w:p w:rsidR="00571E9D" w:rsidRDefault="003343B1">
      <w:pPr>
        <w:adjustRightInd w:val="0"/>
        <w:snapToGrid w:val="0"/>
        <w:spacing w:line="600" w:lineRule="exact"/>
        <w:ind w:firstLineChars="200" w:firstLine="602"/>
        <w:rPr>
          <w:rFonts w:eastAsia="仿宋_GB2312"/>
          <w:sz w:val="30"/>
          <w:szCs w:val="30"/>
        </w:rPr>
      </w:pPr>
      <w:r>
        <w:rPr>
          <w:rFonts w:ascii="楷体_GB2312" w:eastAsia="楷体_GB2312" w:hAnsi="Times New Roman" w:cs="Times New Roman" w:hint="eastAsia"/>
          <w:b/>
          <w:sz w:val="30"/>
          <w:szCs w:val="30"/>
        </w:rPr>
        <w:t>（三）体现上位规则监管理念和实践需求。</w:t>
      </w:r>
      <w:r>
        <w:rPr>
          <w:rFonts w:eastAsia="仿宋_GB2312" w:hint="eastAsia"/>
          <w:sz w:val="30"/>
          <w:szCs w:val="30"/>
        </w:rPr>
        <w:t>根据上位规则修订情况并参考审核实践，《重组审核规则》对《科创板重组审核规则》相关内容作了相应完善，包括</w:t>
      </w:r>
      <w:r>
        <w:rPr>
          <w:rFonts w:ascii="仿宋_GB2312" w:eastAsia="仿宋_GB2312" w:hint="eastAsia"/>
          <w:sz w:val="30"/>
          <w:szCs w:val="30"/>
        </w:rPr>
        <w:t>坚持“开门办审核”理念，进一步完善咨询沟通相关规定；强化中介机构归位尽责要求；</w:t>
      </w:r>
      <w:r>
        <w:rPr>
          <w:rFonts w:eastAsia="仿宋_GB2312" w:hint="eastAsia"/>
          <w:sz w:val="30"/>
          <w:szCs w:val="30"/>
        </w:rPr>
        <w:t>删除中介机构立案调查与业务受理、中止审核挂钩的规定；完善审核程序，明确分类审核机制等。</w:t>
      </w:r>
    </w:p>
    <w:p w:rsidR="00571E9D" w:rsidRDefault="003343B1">
      <w:pPr>
        <w:snapToGrid w:val="0"/>
        <w:spacing w:line="600" w:lineRule="exact"/>
        <w:ind w:firstLineChars="200" w:firstLine="602"/>
        <w:outlineLvl w:val="0"/>
        <w:rPr>
          <w:rFonts w:ascii="黑体" w:eastAsia="黑体" w:hAnsi="黑体" w:cs="Times New Roman"/>
          <w:b/>
          <w:sz w:val="30"/>
          <w:szCs w:val="30"/>
        </w:rPr>
      </w:pPr>
      <w:r>
        <w:rPr>
          <w:rFonts w:ascii="黑体" w:eastAsia="黑体" w:hAnsi="黑体" w:cs="Times New Roman" w:hint="eastAsia"/>
          <w:b/>
          <w:sz w:val="30"/>
          <w:szCs w:val="30"/>
        </w:rPr>
        <w:t>二、主要内容</w:t>
      </w:r>
    </w:p>
    <w:p w:rsidR="00571E9D" w:rsidRDefault="003343B1">
      <w:pPr>
        <w:snapToGrid w:val="0"/>
        <w:spacing w:line="600" w:lineRule="exact"/>
        <w:ind w:firstLineChars="200" w:firstLine="600"/>
        <w:rPr>
          <w:rFonts w:eastAsia="仿宋_GB2312"/>
          <w:sz w:val="30"/>
          <w:szCs w:val="30"/>
        </w:rPr>
      </w:pPr>
      <w:r>
        <w:rPr>
          <w:rFonts w:eastAsia="仿宋_GB2312" w:hint="eastAsia"/>
          <w:sz w:val="30"/>
          <w:szCs w:val="30"/>
        </w:rPr>
        <w:t>《重组审核规则》</w:t>
      </w:r>
      <w:r>
        <w:rPr>
          <w:rFonts w:eastAsia="仿宋_GB2312"/>
          <w:sz w:val="30"/>
          <w:szCs w:val="30"/>
        </w:rPr>
        <w:t>共</w:t>
      </w:r>
      <w:r>
        <w:rPr>
          <w:rFonts w:eastAsia="仿宋_GB2312" w:hint="eastAsia"/>
          <w:sz w:val="30"/>
          <w:szCs w:val="30"/>
        </w:rPr>
        <w:t>九</w:t>
      </w:r>
      <w:r>
        <w:rPr>
          <w:rFonts w:eastAsia="仿宋_GB2312"/>
          <w:sz w:val="30"/>
          <w:szCs w:val="30"/>
        </w:rPr>
        <w:t>章</w:t>
      </w:r>
      <w:r>
        <w:rPr>
          <w:rFonts w:eastAsia="仿宋_GB2312" w:hint="eastAsia"/>
          <w:sz w:val="30"/>
          <w:szCs w:val="30"/>
        </w:rPr>
        <w:t>八十</w:t>
      </w:r>
      <w:r>
        <w:rPr>
          <w:rFonts w:eastAsia="仿宋_GB2312"/>
          <w:sz w:val="30"/>
          <w:szCs w:val="30"/>
        </w:rPr>
        <w:t>条，</w:t>
      </w:r>
      <w:r>
        <w:rPr>
          <w:rFonts w:eastAsia="仿宋_GB2312" w:hint="eastAsia"/>
          <w:sz w:val="30"/>
          <w:szCs w:val="30"/>
        </w:rPr>
        <w:t>整体</w:t>
      </w:r>
      <w:r>
        <w:rPr>
          <w:rFonts w:eastAsia="仿宋_GB2312"/>
          <w:sz w:val="30"/>
          <w:szCs w:val="30"/>
        </w:rPr>
        <w:t>沿用</w:t>
      </w:r>
      <w:r>
        <w:rPr>
          <w:rFonts w:eastAsia="仿宋_GB2312" w:hint="eastAsia"/>
          <w:sz w:val="30"/>
          <w:szCs w:val="30"/>
        </w:rPr>
        <w:t>《科创板重组审核规则》章节、</w:t>
      </w:r>
      <w:r>
        <w:rPr>
          <w:rFonts w:eastAsia="仿宋_GB2312"/>
          <w:sz w:val="30"/>
          <w:szCs w:val="30"/>
        </w:rPr>
        <w:t>体例</w:t>
      </w:r>
      <w:r>
        <w:rPr>
          <w:rFonts w:eastAsia="仿宋_GB2312" w:hint="eastAsia"/>
          <w:sz w:val="30"/>
          <w:szCs w:val="30"/>
        </w:rPr>
        <w:t>及条款</w:t>
      </w:r>
      <w:r>
        <w:rPr>
          <w:rFonts w:eastAsia="仿宋_GB2312"/>
          <w:sz w:val="30"/>
          <w:szCs w:val="30"/>
        </w:rPr>
        <w:t>。</w:t>
      </w:r>
      <w:r>
        <w:rPr>
          <w:rFonts w:eastAsia="仿宋_GB2312" w:hint="eastAsia"/>
          <w:sz w:val="30"/>
          <w:szCs w:val="30"/>
        </w:rPr>
        <w:t>调整</w:t>
      </w:r>
      <w:r>
        <w:rPr>
          <w:rFonts w:eastAsia="仿宋_GB2312"/>
          <w:sz w:val="30"/>
          <w:szCs w:val="30"/>
        </w:rPr>
        <w:t>内容主要涉及以下</w:t>
      </w:r>
      <w:r>
        <w:rPr>
          <w:rFonts w:eastAsia="仿宋_GB2312" w:hint="eastAsia"/>
          <w:sz w:val="30"/>
          <w:szCs w:val="30"/>
        </w:rPr>
        <w:t>六</w:t>
      </w:r>
      <w:r>
        <w:rPr>
          <w:rFonts w:eastAsia="仿宋_GB2312"/>
          <w:sz w:val="30"/>
          <w:szCs w:val="30"/>
        </w:rPr>
        <w:t>个方面。</w:t>
      </w:r>
    </w:p>
    <w:p w:rsidR="00571E9D" w:rsidRDefault="003343B1">
      <w:pPr>
        <w:snapToGrid w:val="0"/>
        <w:spacing w:line="600" w:lineRule="exact"/>
        <w:ind w:firstLineChars="200" w:firstLine="602"/>
        <w:rPr>
          <w:rFonts w:ascii="仿宋_GB2312" w:eastAsia="仿宋_GB2312"/>
          <w:color w:val="000000" w:themeColor="text1"/>
          <w:sz w:val="30"/>
          <w:szCs w:val="30"/>
        </w:rPr>
      </w:pPr>
      <w:r>
        <w:rPr>
          <w:rFonts w:ascii="楷体_GB2312" w:eastAsia="楷体_GB2312" w:cs="Arial" w:hint="eastAsia"/>
          <w:b/>
          <w:sz w:val="30"/>
          <w:szCs w:val="30"/>
        </w:rPr>
        <w:t>（一）对规则适用范围进行适应性调整。</w:t>
      </w:r>
      <w:r>
        <w:rPr>
          <w:rFonts w:ascii="仿宋_GB2312" w:eastAsia="仿宋_GB2312" w:hint="eastAsia"/>
          <w:color w:val="000000" w:themeColor="text1"/>
          <w:sz w:val="30"/>
          <w:szCs w:val="30"/>
        </w:rPr>
        <w:t>根据《重组办法》有关规定，本所相应调整了重组审核程序的适用范围，明确本所设立并购重组审核委员会对上市公司发行股份购买资产申请进行审议</w:t>
      </w:r>
      <w:r>
        <w:rPr>
          <w:rFonts w:ascii="仿宋_GB2312" w:eastAsia="仿宋_GB2312" w:hint="eastAsia"/>
          <w:sz w:val="30"/>
          <w:szCs w:val="30"/>
        </w:rPr>
        <w:t>。</w:t>
      </w:r>
    </w:p>
    <w:p w:rsidR="005352CF" w:rsidRDefault="003343B1">
      <w:pPr>
        <w:spacing w:line="600" w:lineRule="exact"/>
        <w:ind w:firstLineChars="200" w:firstLine="602"/>
        <w:rPr>
          <w:rFonts w:ascii="楷体_GB2312" w:eastAsia="楷体_GB2312"/>
          <w:b/>
          <w:sz w:val="30"/>
          <w:szCs w:val="30"/>
        </w:rPr>
      </w:pPr>
      <w:r>
        <w:rPr>
          <w:rFonts w:ascii="楷体_GB2312" w:eastAsia="楷体_GB2312" w:hint="eastAsia"/>
          <w:b/>
          <w:sz w:val="30"/>
          <w:szCs w:val="30"/>
        </w:rPr>
        <w:t>（二）完善咨询沟通条款，进一步提升服务市场水平。</w:t>
      </w:r>
      <w:r>
        <w:rPr>
          <w:rFonts w:ascii="仿宋_GB2312" w:eastAsia="仿宋_GB2312" w:hint="eastAsia"/>
          <w:sz w:val="30"/>
          <w:szCs w:val="30"/>
        </w:rPr>
        <w:t>坚持“开门办审核”理念，增加咨询沟通情形，明确上市公司、独立财务顾问和证券服务机构在发行股份购买资产方案披露后至申报前，可以就重组审核相关业务问题或者事项向本所重组审核机构进行咨询沟通。</w:t>
      </w:r>
    </w:p>
    <w:p w:rsidR="005352CF" w:rsidRDefault="003343B1">
      <w:pPr>
        <w:adjustRightInd w:val="0"/>
        <w:snapToGrid w:val="0"/>
        <w:spacing w:line="600" w:lineRule="exact"/>
        <w:ind w:firstLineChars="200" w:firstLine="602"/>
        <w:rPr>
          <w:rFonts w:ascii="仿宋_GB2312" w:eastAsia="仿宋_GB2312"/>
          <w:sz w:val="30"/>
          <w:szCs w:val="30"/>
        </w:rPr>
      </w:pPr>
      <w:r>
        <w:rPr>
          <w:rFonts w:ascii="楷体_GB2312" w:eastAsia="楷体_GB2312" w:cs="Arial" w:hint="eastAsia"/>
          <w:b/>
          <w:sz w:val="30"/>
          <w:szCs w:val="30"/>
        </w:rPr>
        <w:t>（三）优化规则体系，精简规则数量。</w:t>
      </w:r>
      <w:r>
        <w:rPr>
          <w:rFonts w:ascii="仿宋_GB2312" w:eastAsia="仿宋_GB2312" w:hint="eastAsia"/>
          <w:sz w:val="30"/>
          <w:szCs w:val="30"/>
        </w:rPr>
        <w:t>《科创板发行上市审核规则适用指引第2号——上市公司重大资产重组审核标准及相关事项》（以下简称《2号指引》）是对审核实践中相关经验的总结。为进一步优化规则体系，精简规则数量，本次《重组审核</w:t>
      </w:r>
      <w:r>
        <w:rPr>
          <w:rFonts w:ascii="仿宋_GB2312" w:eastAsia="仿宋_GB2312" w:hint="eastAsia"/>
          <w:sz w:val="30"/>
          <w:szCs w:val="30"/>
        </w:rPr>
        <w:lastRenderedPageBreak/>
        <w:t>规则》吸纳了《2号指引》有关内容。《重组审核规则》发布时，《2号指引》相应废止。</w:t>
      </w:r>
    </w:p>
    <w:p w:rsidR="00571E9D" w:rsidRDefault="003343B1">
      <w:pPr>
        <w:spacing w:line="600" w:lineRule="exact"/>
        <w:ind w:firstLineChars="200" w:firstLine="602"/>
        <w:rPr>
          <w:rFonts w:ascii="楷体_GB2312" w:eastAsia="楷体_GB2312"/>
          <w:b/>
          <w:sz w:val="30"/>
          <w:szCs w:val="30"/>
        </w:rPr>
      </w:pPr>
      <w:r>
        <w:rPr>
          <w:rFonts w:ascii="楷体_GB2312" w:eastAsia="楷体_GB2312" w:hint="eastAsia"/>
          <w:b/>
          <w:sz w:val="30"/>
          <w:szCs w:val="30"/>
        </w:rPr>
        <w:t>（四）强化重点信息披露要求和中介机构归位尽责要求。</w:t>
      </w:r>
      <w:r>
        <w:rPr>
          <w:rFonts w:ascii="仿宋_GB2312" w:eastAsia="仿宋_GB2312" w:hint="eastAsia"/>
          <w:sz w:val="30"/>
          <w:szCs w:val="30"/>
        </w:rPr>
        <w:t>一方面</w:t>
      </w:r>
      <w:r w:rsidR="007A67C2" w:rsidRPr="007A67C2">
        <w:rPr>
          <w:rFonts w:ascii="仿宋_GB2312" w:eastAsia="仿宋_GB2312" w:hint="eastAsia"/>
          <w:sz w:val="30"/>
          <w:szCs w:val="30"/>
        </w:rPr>
        <w:t>，</w:t>
      </w:r>
      <w:r>
        <w:rPr>
          <w:rFonts w:ascii="仿宋_GB2312" w:eastAsia="仿宋_GB2312" w:hint="eastAsia"/>
          <w:sz w:val="30"/>
          <w:szCs w:val="30"/>
        </w:rPr>
        <w:t>结合监管实践，明确上市公司须披露标的资产权属清晰性、经营合规性、业务独立性、资产完整性等投资者作出价值判断和投资决策所必需的信息；另一方面，增加对独立财务顾问、证券服务机构及相关人员廉洁从业要求；明确申报即担责；扩大“关键少数”问责情形；明确现场督导制度安排，并进一步规定相关主体的配合、保证义务及相应罚则。</w:t>
      </w:r>
    </w:p>
    <w:p w:rsidR="005352CF" w:rsidRDefault="003343B1">
      <w:pPr>
        <w:adjustRightInd w:val="0"/>
        <w:snapToGrid w:val="0"/>
        <w:spacing w:line="600" w:lineRule="exact"/>
        <w:ind w:firstLineChars="200" w:firstLine="602"/>
        <w:rPr>
          <w:rFonts w:ascii="楷体_GB2312" w:eastAsia="楷体_GB2312"/>
          <w:b/>
          <w:sz w:val="30"/>
          <w:szCs w:val="30"/>
        </w:rPr>
      </w:pPr>
      <w:r>
        <w:rPr>
          <w:rFonts w:ascii="楷体_GB2312" w:eastAsia="楷体_GB2312" w:hint="eastAsia"/>
          <w:b/>
          <w:sz w:val="30"/>
          <w:szCs w:val="30"/>
        </w:rPr>
        <w:t>（五）完善不予受理和中止审核情形。</w:t>
      </w:r>
      <w:r>
        <w:rPr>
          <w:rFonts w:ascii="仿宋_GB2312" w:eastAsia="仿宋_GB2312" w:hint="eastAsia"/>
          <w:sz w:val="30"/>
          <w:szCs w:val="30"/>
        </w:rPr>
        <w:t>明确相关主体被本所和其他证券交易所、国务院批准的其他全国性证券交易场所、中国证券业协会采取相关自律管理措施尚未解除的，不予受理重组申请，或者对重组申请中止审核。同时，考虑到行政处罚、民事赔偿、刑事追责相互衔接的立体惩戒体系更加成熟，且上位规则已删除立案调查与业务受理审核挂钩的规定，不再将中介机构被立案调查作为不予受理及中止审核的情形。</w:t>
      </w:r>
    </w:p>
    <w:p w:rsidR="005352CF" w:rsidRDefault="003343B1">
      <w:pPr>
        <w:adjustRightInd w:val="0"/>
        <w:snapToGrid w:val="0"/>
        <w:spacing w:line="600" w:lineRule="exact"/>
        <w:ind w:firstLineChars="200" w:firstLine="602"/>
        <w:rPr>
          <w:rFonts w:ascii="楷体_GB2312" w:eastAsia="楷体_GB2312"/>
          <w:b/>
          <w:sz w:val="30"/>
          <w:szCs w:val="30"/>
        </w:rPr>
      </w:pPr>
      <w:r>
        <w:rPr>
          <w:rFonts w:ascii="楷体_GB2312" w:eastAsia="楷体_GB2312" w:hint="eastAsia"/>
          <w:b/>
          <w:sz w:val="30"/>
          <w:szCs w:val="30"/>
        </w:rPr>
        <w:t>（六）</w:t>
      </w:r>
      <w:r>
        <w:rPr>
          <w:rFonts w:ascii="楷体_GB2312" w:eastAsia="楷体_GB2312" w:cs="Arial" w:hint="eastAsia"/>
          <w:b/>
          <w:sz w:val="30"/>
          <w:szCs w:val="30"/>
        </w:rPr>
        <w:t>完善审核程序。</w:t>
      </w:r>
      <w:r>
        <w:rPr>
          <w:rFonts w:ascii="仿宋_GB2312" w:eastAsia="仿宋_GB2312" w:hint="eastAsia"/>
          <w:sz w:val="30"/>
          <w:szCs w:val="30"/>
        </w:rPr>
        <w:t>借鉴主板“分道制”审核安排，本次《重组审核规则》明确规定，对于符合条件的主板和科创板重组申请，可以减少问询轮次和问询数量，优化审核内容，提高审核效率；明确交易所应按照中国证监会的要求，对注册程序中发现的影响重组条件的新增事项进行问询并形成审核意见；规定独立财务顾问主动撤回申请文件即触发终止审核；完善审核用时扣除情形等事项。</w:t>
      </w:r>
    </w:p>
    <w:p w:rsidR="00571E9D" w:rsidRDefault="003343B1">
      <w:pPr>
        <w:snapToGrid w:val="0"/>
        <w:spacing w:line="600" w:lineRule="exact"/>
        <w:ind w:firstLineChars="200" w:firstLine="602"/>
        <w:outlineLvl w:val="0"/>
        <w:rPr>
          <w:rFonts w:ascii="黑体" w:eastAsia="黑体" w:hAnsi="黑体" w:cs="Times New Roman"/>
          <w:b/>
          <w:sz w:val="30"/>
          <w:szCs w:val="30"/>
        </w:rPr>
      </w:pPr>
      <w:r>
        <w:rPr>
          <w:rFonts w:ascii="黑体" w:eastAsia="黑体" w:hAnsi="黑体" w:cs="Times New Roman" w:hint="eastAsia"/>
          <w:b/>
          <w:sz w:val="30"/>
          <w:szCs w:val="30"/>
        </w:rPr>
        <w:lastRenderedPageBreak/>
        <w:t>三、征求意见及采纳情况</w:t>
      </w:r>
    </w:p>
    <w:p w:rsidR="00571E9D" w:rsidRDefault="003343B1">
      <w:pPr>
        <w:snapToGrid w:val="0"/>
        <w:spacing w:line="560" w:lineRule="exact"/>
        <w:ind w:firstLineChars="200" w:firstLine="600"/>
        <w:rPr>
          <w:rFonts w:ascii="仿宋_GB2312" w:eastAsia="仿宋_GB2312" w:hAnsi="仿宋_GB2312" w:cs="仿宋_GB2312"/>
          <w:sz w:val="30"/>
          <w:szCs w:val="30"/>
          <w:highlight w:val="yellow"/>
        </w:rPr>
      </w:pPr>
      <w:r>
        <w:rPr>
          <w:rFonts w:ascii="仿宋_GB2312" w:eastAsia="仿宋_GB2312" w:hAnsi="仿宋_GB2312" w:cs="仿宋_GB2312"/>
          <w:sz w:val="30"/>
          <w:szCs w:val="30"/>
        </w:rPr>
        <w:t>202</w:t>
      </w:r>
      <w:r>
        <w:rPr>
          <w:rFonts w:ascii="仿宋_GB2312" w:eastAsia="仿宋_GB2312" w:hAnsi="仿宋_GB2312" w:cs="仿宋_GB2312" w:hint="eastAsia"/>
          <w:sz w:val="30"/>
          <w:szCs w:val="30"/>
        </w:rPr>
        <w:t>3</w:t>
      </w:r>
      <w:r>
        <w:rPr>
          <w:rFonts w:ascii="仿宋_GB2312" w:eastAsia="仿宋_GB2312" w:hAnsi="仿宋_GB2312" w:cs="仿宋_GB2312"/>
          <w:sz w:val="30"/>
          <w:szCs w:val="30"/>
        </w:rPr>
        <w:t>年</w:t>
      </w:r>
      <w:r>
        <w:rPr>
          <w:rFonts w:ascii="仿宋_GB2312" w:eastAsia="仿宋_GB2312" w:hAnsi="仿宋_GB2312" w:cs="仿宋_GB2312" w:hint="eastAsia"/>
          <w:sz w:val="30"/>
          <w:szCs w:val="30"/>
        </w:rPr>
        <w:t>2</w:t>
      </w:r>
      <w:r>
        <w:rPr>
          <w:rFonts w:ascii="仿宋_GB2312" w:eastAsia="仿宋_GB2312" w:hAnsi="仿宋_GB2312" w:cs="仿宋_GB2312"/>
          <w:sz w:val="30"/>
          <w:szCs w:val="30"/>
        </w:rPr>
        <w:t>月</w:t>
      </w:r>
      <w:r>
        <w:rPr>
          <w:rFonts w:ascii="仿宋_GB2312" w:eastAsia="仿宋_GB2312" w:hAnsi="仿宋_GB2312" w:cs="仿宋_GB2312" w:hint="eastAsia"/>
          <w:sz w:val="30"/>
          <w:szCs w:val="30"/>
        </w:rPr>
        <w:t>1日至8</w:t>
      </w:r>
      <w:r>
        <w:rPr>
          <w:rFonts w:ascii="仿宋_GB2312" w:eastAsia="仿宋_GB2312" w:hAnsi="仿宋_GB2312" w:cs="仿宋_GB2312"/>
          <w:sz w:val="30"/>
          <w:szCs w:val="30"/>
        </w:rPr>
        <w:t>日，</w:t>
      </w:r>
      <w:r>
        <w:rPr>
          <w:rFonts w:ascii="仿宋_GB2312" w:eastAsia="仿宋_GB2312" w:hAnsi="仿宋_GB2312" w:cs="仿宋_GB2312" w:hint="eastAsia"/>
          <w:sz w:val="30"/>
          <w:szCs w:val="30"/>
        </w:rPr>
        <w:t>本</w:t>
      </w:r>
      <w:r>
        <w:rPr>
          <w:rFonts w:ascii="仿宋_GB2312" w:eastAsia="仿宋_GB2312" w:hAnsi="仿宋_GB2312" w:cs="仿宋_GB2312"/>
          <w:sz w:val="30"/>
          <w:szCs w:val="30"/>
        </w:rPr>
        <w:t>所就《</w:t>
      </w:r>
      <w:r>
        <w:rPr>
          <w:rFonts w:ascii="仿宋_GB2312" w:eastAsia="仿宋_GB2312" w:hAnsi="仿宋_GB2312" w:cs="仿宋_GB2312" w:hint="eastAsia"/>
          <w:sz w:val="30"/>
          <w:szCs w:val="30"/>
        </w:rPr>
        <w:t>重组审核规则</w:t>
      </w:r>
      <w:r>
        <w:rPr>
          <w:rFonts w:ascii="仿宋_GB2312" w:eastAsia="仿宋_GB2312" w:hAnsi="仿宋_GB2312" w:cs="仿宋_GB2312"/>
          <w:sz w:val="30"/>
          <w:szCs w:val="30"/>
        </w:rPr>
        <w:t>》</w:t>
      </w:r>
      <w:r>
        <w:rPr>
          <w:rFonts w:ascii="仿宋_GB2312" w:eastAsia="仿宋_GB2312" w:hAnsi="仿宋_GB2312" w:cs="仿宋_GB2312" w:hint="eastAsia"/>
          <w:sz w:val="30"/>
          <w:szCs w:val="30"/>
        </w:rPr>
        <w:t>向社会公开征求意见。征求意见期间，共收到15条相关意见建议。本所进行了认真研究梳理，优化了独立财务顾问工作底稿报送安排等，并对部分条款的表述进行了适当优化。</w:t>
      </w:r>
    </w:p>
    <w:p w:rsidR="00571E9D" w:rsidRDefault="003343B1">
      <w:pPr>
        <w:snapToGrid w:val="0"/>
        <w:spacing w:line="600" w:lineRule="exact"/>
        <w:ind w:firstLineChars="200" w:firstLine="600"/>
        <w:rPr>
          <w:rFonts w:ascii="仿宋_GB2312" w:eastAsia="仿宋_GB2312"/>
          <w:sz w:val="30"/>
          <w:szCs w:val="30"/>
        </w:rPr>
      </w:pPr>
      <w:r>
        <w:rPr>
          <w:rFonts w:ascii="仿宋_GB2312" w:eastAsia="仿宋_GB2312" w:hint="eastAsia"/>
          <w:sz w:val="30"/>
          <w:szCs w:val="30"/>
        </w:rPr>
        <w:t>特此说明。</w:t>
      </w:r>
    </w:p>
    <w:p w:rsidR="00571E9D" w:rsidRDefault="00571E9D">
      <w:pPr>
        <w:snapToGrid w:val="0"/>
        <w:spacing w:line="600" w:lineRule="exact"/>
        <w:rPr>
          <w:rFonts w:ascii="仿宋_GB2312" w:eastAsia="仿宋_GB2312"/>
          <w:sz w:val="30"/>
          <w:szCs w:val="30"/>
        </w:rPr>
      </w:pPr>
      <w:bookmarkStart w:id="0" w:name="_GoBack"/>
      <w:bookmarkEnd w:id="0"/>
    </w:p>
    <w:sectPr w:rsidR="00571E9D" w:rsidSect="00571E9D">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6801" w:rsidRDefault="00C36801" w:rsidP="00571E9D">
      <w:r>
        <w:separator/>
      </w:r>
    </w:p>
  </w:endnote>
  <w:endnote w:type="continuationSeparator" w:id="0">
    <w:p w:rsidR="00C36801" w:rsidRDefault="00C36801" w:rsidP="00571E9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345458547"/>
    </w:sdtPr>
    <w:sdtContent>
      <w:p w:rsidR="00571E9D" w:rsidRDefault="008170D1">
        <w:pPr>
          <w:pStyle w:val="a5"/>
          <w:jc w:val="center"/>
          <w:rPr>
            <w:rFonts w:ascii="Times New Roman" w:hAnsi="Times New Roman" w:cs="Times New Roman"/>
            <w:sz w:val="24"/>
            <w:szCs w:val="24"/>
          </w:rPr>
        </w:pPr>
        <w:r>
          <w:rPr>
            <w:rFonts w:ascii="Times New Roman" w:hAnsi="Times New Roman" w:cs="Times New Roman"/>
            <w:sz w:val="24"/>
            <w:szCs w:val="24"/>
          </w:rPr>
          <w:fldChar w:fldCharType="begin"/>
        </w:r>
        <w:r w:rsidR="003343B1">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sidR="00EC0F40" w:rsidRPr="00EC0F40">
          <w:rPr>
            <w:rFonts w:ascii="Times New Roman" w:hAnsi="Times New Roman" w:cs="Times New Roman"/>
            <w:noProof/>
            <w:sz w:val="24"/>
            <w:szCs w:val="24"/>
            <w:lang w:val="zh-CN"/>
          </w:rPr>
          <w:t>4</w:t>
        </w:r>
        <w:r>
          <w:rPr>
            <w:rFonts w:ascii="Times New Roman" w:hAnsi="Times New Roman" w:cs="Times New Roman"/>
            <w:sz w:val="24"/>
            <w:szCs w:val="24"/>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6801" w:rsidRDefault="00C36801" w:rsidP="00571E9D">
      <w:r>
        <w:separator/>
      </w:r>
    </w:p>
  </w:footnote>
  <w:footnote w:type="continuationSeparator" w:id="0">
    <w:p w:rsidR="00C36801" w:rsidRDefault="00C36801" w:rsidP="00571E9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536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ThkNTFiMzVhMGZlMDhmZTBlZDdhYTA1OGNlOWE1NDAifQ=="/>
    <w:docVar w:name="KSO_WPS_MARK_KEY" w:val="b9cae2e1-addb-4919-b7bb-e5c4c91536df"/>
  </w:docVars>
  <w:rsids>
    <w:rsidRoot w:val="002361FF"/>
    <w:rsid w:val="00010C57"/>
    <w:rsid w:val="0001135F"/>
    <w:rsid w:val="00014DB5"/>
    <w:rsid w:val="000154E6"/>
    <w:rsid w:val="00025706"/>
    <w:rsid w:val="00026ABA"/>
    <w:rsid w:val="0004454F"/>
    <w:rsid w:val="00060147"/>
    <w:rsid w:val="00064882"/>
    <w:rsid w:val="000744B1"/>
    <w:rsid w:val="00074F9A"/>
    <w:rsid w:val="00090989"/>
    <w:rsid w:val="00095F49"/>
    <w:rsid w:val="00096293"/>
    <w:rsid w:val="000975ED"/>
    <w:rsid w:val="000A2E49"/>
    <w:rsid w:val="000B31C0"/>
    <w:rsid w:val="000B4F08"/>
    <w:rsid w:val="000B61AE"/>
    <w:rsid w:val="000D68F1"/>
    <w:rsid w:val="00102D28"/>
    <w:rsid w:val="001070BB"/>
    <w:rsid w:val="00126FEA"/>
    <w:rsid w:val="001270A6"/>
    <w:rsid w:val="00130EB5"/>
    <w:rsid w:val="001331CB"/>
    <w:rsid w:val="001402E7"/>
    <w:rsid w:val="001472F6"/>
    <w:rsid w:val="00154A59"/>
    <w:rsid w:val="00160D55"/>
    <w:rsid w:val="001670E1"/>
    <w:rsid w:val="00176007"/>
    <w:rsid w:val="00194DDF"/>
    <w:rsid w:val="001B71D2"/>
    <w:rsid w:val="001D170C"/>
    <w:rsid w:val="001E4AA5"/>
    <w:rsid w:val="001E629E"/>
    <w:rsid w:val="001E6721"/>
    <w:rsid w:val="001F462A"/>
    <w:rsid w:val="00200894"/>
    <w:rsid w:val="0023304C"/>
    <w:rsid w:val="00233122"/>
    <w:rsid w:val="002361FF"/>
    <w:rsid w:val="00243044"/>
    <w:rsid w:val="002433FC"/>
    <w:rsid w:val="00263C4B"/>
    <w:rsid w:val="00263D05"/>
    <w:rsid w:val="00271C43"/>
    <w:rsid w:val="00293273"/>
    <w:rsid w:val="00295611"/>
    <w:rsid w:val="002A5A39"/>
    <w:rsid w:val="002C0F3E"/>
    <w:rsid w:val="002F0AE1"/>
    <w:rsid w:val="003011A5"/>
    <w:rsid w:val="0031484A"/>
    <w:rsid w:val="00334112"/>
    <w:rsid w:val="003343B1"/>
    <w:rsid w:val="003344D1"/>
    <w:rsid w:val="003357BD"/>
    <w:rsid w:val="00340152"/>
    <w:rsid w:val="0034330F"/>
    <w:rsid w:val="0034604D"/>
    <w:rsid w:val="00347AF0"/>
    <w:rsid w:val="00361BD6"/>
    <w:rsid w:val="00381B9A"/>
    <w:rsid w:val="00392601"/>
    <w:rsid w:val="003B12EA"/>
    <w:rsid w:val="003B3463"/>
    <w:rsid w:val="003C2D8F"/>
    <w:rsid w:val="003D58E2"/>
    <w:rsid w:val="003E20B5"/>
    <w:rsid w:val="003E4F8F"/>
    <w:rsid w:val="003E5D06"/>
    <w:rsid w:val="00400128"/>
    <w:rsid w:val="00412AD3"/>
    <w:rsid w:val="00412CC9"/>
    <w:rsid w:val="00454325"/>
    <w:rsid w:val="00467FCD"/>
    <w:rsid w:val="00471B2C"/>
    <w:rsid w:val="004C38B0"/>
    <w:rsid w:val="004E27D4"/>
    <w:rsid w:val="004F6A98"/>
    <w:rsid w:val="00524929"/>
    <w:rsid w:val="005352CF"/>
    <w:rsid w:val="00535491"/>
    <w:rsid w:val="00554688"/>
    <w:rsid w:val="005568BC"/>
    <w:rsid w:val="00561AB3"/>
    <w:rsid w:val="00571E9D"/>
    <w:rsid w:val="005878C8"/>
    <w:rsid w:val="005B2D40"/>
    <w:rsid w:val="005B42DE"/>
    <w:rsid w:val="005C3630"/>
    <w:rsid w:val="005C3B29"/>
    <w:rsid w:val="005E74C9"/>
    <w:rsid w:val="005F04BA"/>
    <w:rsid w:val="00631A0E"/>
    <w:rsid w:val="00655064"/>
    <w:rsid w:val="00655A94"/>
    <w:rsid w:val="006913C6"/>
    <w:rsid w:val="0069305A"/>
    <w:rsid w:val="0069368F"/>
    <w:rsid w:val="00697034"/>
    <w:rsid w:val="00697F39"/>
    <w:rsid w:val="006B5A78"/>
    <w:rsid w:val="006C30BA"/>
    <w:rsid w:val="006D1CE9"/>
    <w:rsid w:val="006D45B5"/>
    <w:rsid w:val="006D61EA"/>
    <w:rsid w:val="006D63E9"/>
    <w:rsid w:val="006E5FB2"/>
    <w:rsid w:val="006F6C9A"/>
    <w:rsid w:val="007015B4"/>
    <w:rsid w:val="00704F67"/>
    <w:rsid w:val="00714911"/>
    <w:rsid w:val="00715962"/>
    <w:rsid w:val="00741CE4"/>
    <w:rsid w:val="007433BA"/>
    <w:rsid w:val="00743F27"/>
    <w:rsid w:val="00747FC4"/>
    <w:rsid w:val="00756457"/>
    <w:rsid w:val="007822CB"/>
    <w:rsid w:val="0079286B"/>
    <w:rsid w:val="00796151"/>
    <w:rsid w:val="007A02E8"/>
    <w:rsid w:val="007A67C2"/>
    <w:rsid w:val="007A71EB"/>
    <w:rsid w:val="007C025C"/>
    <w:rsid w:val="007C7CB7"/>
    <w:rsid w:val="007D3185"/>
    <w:rsid w:val="007D7BD4"/>
    <w:rsid w:val="007E0E22"/>
    <w:rsid w:val="007E6022"/>
    <w:rsid w:val="007F5792"/>
    <w:rsid w:val="008170D1"/>
    <w:rsid w:val="00822B06"/>
    <w:rsid w:val="0083317C"/>
    <w:rsid w:val="008347A6"/>
    <w:rsid w:val="0083688E"/>
    <w:rsid w:val="008461A9"/>
    <w:rsid w:val="00850CAF"/>
    <w:rsid w:val="008542D0"/>
    <w:rsid w:val="00860F02"/>
    <w:rsid w:val="00861587"/>
    <w:rsid w:val="00873D8F"/>
    <w:rsid w:val="008777FD"/>
    <w:rsid w:val="008C1F3A"/>
    <w:rsid w:val="008D1A9D"/>
    <w:rsid w:val="008F5880"/>
    <w:rsid w:val="0092565F"/>
    <w:rsid w:val="00935CFE"/>
    <w:rsid w:val="00941B9C"/>
    <w:rsid w:val="00952BAD"/>
    <w:rsid w:val="00975965"/>
    <w:rsid w:val="00985506"/>
    <w:rsid w:val="00996AD1"/>
    <w:rsid w:val="009A5D5B"/>
    <w:rsid w:val="009D47E0"/>
    <w:rsid w:val="009E3857"/>
    <w:rsid w:val="009F6B40"/>
    <w:rsid w:val="00A066C3"/>
    <w:rsid w:val="00A231AB"/>
    <w:rsid w:val="00A330F4"/>
    <w:rsid w:val="00A40FB3"/>
    <w:rsid w:val="00A43EB7"/>
    <w:rsid w:val="00A640D7"/>
    <w:rsid w:val="00A70DF1"/>
    <w:rsid w:val="00A90DCD"/>
    <w:rsid w:val="00A92244"/>
    <w:rsid w:val="00AA1824"/>
    <w:rsid w:val="00AA194F"/>
    <w:rsid w:val="00AA5FFE"/>
    <w:rsid w:val="00AB65ED"/>
    <w:rsid w:val="00AC665D"/>
    <w:rsid w:val="00AE16E5"/>
    <w:rsid w:val="00AF0B8D"/>
    <w:rsid w:val="00AF7040"/>
    <w:rsid w:val="00B02AFC"/>
    <w:rsid w:val="00B047F9"/>
    <w:rsid w:val="00B04E2E"/>
    <w:rsid w:val="00B23624"/>
    <w:rsid w:val="00B3653E"/>
    <w:rsid w:val="00B61DD8"/>
    <w:rsid w:val="00B63300"/>
    <w:rsid w:val="00B66C6E"/>
    <w:rsid w:val="00B73275"/>
    <w:rsid w:val="00B846BB"/>
    <w:rsid w:val="00B84EAC"/>
    <w:rsid w:val="00B9093D"/>
    <w:rsid w:val="00B9263D"/>
    <w:rsid w:val="00BB2C19"/>
    <w:rsid w:val="00BC5C9A"/>
    <w:rsid w:val="00BD512F"/>
    <w:rsid w:val="00BD5CD7"/>
    <w:rsid w:val="00BE2322"/>
    <w:rsid w:val="00BE60B5"/>
    <w:rsid w:val="00BE7AA1"/>
    <w:rsid w:val="00BF13B0"/>
    <w:rsid w:val="00C04145"/>
    <w:rsid w:val="00C1219B"/>
    <w:rsid w:val="00C1285E"/>
    <w:rsid w:val="00C162A3"/>
    <w:rsid w:val="00C34BC1"/>
    <w:rsid w:val="00C36801"/>
    <w:rsid w:val="00C713B9"/>
    <w:rsid w:val="00C9245C"/>
    <w:rsid w:val="00C96AD3"/>
    <w:rsid w:val="00CB69B8"/>
    <w:rsid w:val="00CE509D"/>
    <w:rsid w:val="00CF6497"/>
    <w:rsid w:val="00D00EA1"/>
    <w:rsid w:val="00D10948"/>
    <w:rsid w:val="00D31F82"/>
    <w:rsid w:val="00D51F3C"/>
    <w:rsid w:val="00D53279"/>
    <w:rsid w:val="00D563BC"/>
    <w:rsid w:val="00D567C9"/>
    <w:rsid w:val="00D740D7"/>
    <w:rsid w:val="00D77709"/>
    <w:rsid w:val="00D83835"/>
    <w:rsid w:val="00D865CB"/>
    <w:rsid w:val="00D90867"/>
    <w:rsid w:val="00D914AA"/>
    <w:rsid w:val="00D91848"/>
    <w:rsid w:val="00D926F2"/>
    <w:rsid w:val="00D938CB"/>
    <w:rsid w:val="00DA2AE5"/>
    <w:rsid w:val="00DC45D9"/>
    <w:rsid w:val="00DD02B7"/>
    <w:rsid w:val="00DD3F33"/>
    <w:rsid w:val="00DF320C"/>
    <w:rsid w:val="00E10727"/>
    <w:rsid w:val="00E12C77"/>
    <w:rsid w:val="00E15369"/>
    <w:rsid w:val="00E17FDC"/>
    <w:rsid w:val="00E22ADB"/>
    <w:rsid w:val="00E332B1"/>
    <w:rsid w:val="00E33DBC"/>
    <w:rsid w:val="00E3465A"/>
    <w:rsid w:val="00E349F4"/>
    <w:rsid w:val="00E4082F"/>
    <w:rsid w:val="00E56544"/>
    <w:rsid w:val="00E67A5D"/>
    <w:rsid w:val="00E77945"/>
    <w:rsid w:val="00E97B23"/>
    <w:rsid w:val="00EA09BA"/>
    <w:rsid w:val="00EA272B"/>
    <w:rsid w:val="00EA5FEA"/>
    <w:rsid w:val="00EC0F40"/>
    <w:rsid w:val="00EC66DB"/>
    <w:rsid w:val="00ED6121"/>
    <w:rsid w:val="00EE14D7"/>
    <w:rsid w:val="00EE33DF"/>
    <w:rsid w:val="00F04571"/>
    <w:rsid w:val="00F07797"/>
    <w:rsid w:val="00F32392"/>
    <w:rsid w:val="00F358C0"/>
    <w:rsid w:val="00F562DD"/>
    <w:rsid w:val="00F6470E"/>
    <w:rsid w:val="00F70AF4"/>
    <w:rsid w:val="00F817A3"/>
    <w:rsid w:val="00F95ACA"/>
    <w:rsid w:val="00F9654F"/>
    <w:rsid w:val="00FB3CF6"/>
    <w:rsid w:val="00FD06BE"/>
    <w:rsid w:val="00FF638A"/>
    <w:rsid w:val="039E1301"/>
    <w:rsid w:val="069D178F"/>
    <w:rsid w:val="07D97A97"/>
    <w:rsid w:val="090027AD"/>
    <w:rsid w:val="0AC927DC"/>
    <w:rsid w:val="0C297E1A"/>
    <w:rsid w:val="0F810EC5"/>
    <w:rsid w:val="135359F3"/>
    <w:rsid w:val="1AA1538F"/>
    <w:rsid w:val="1C7E5DB2"/>
    <w:rsid w:val="1E482D48"/>
    <w:rsid w:val="206F0EC3"/>
    <w:rsid w:val="20E62072"/>
    <w:rsid w:val="228F4698"/>
    <w:rsid w:val="22CF5EF6"/>
    <w:rsid w:val="24700D89"/>
    <w:rsid w:val="264A0B8F"/>
    <w:rsid w:val="2BED54C5"/>
    <w:rsid w:val="2C087472"/>
    <w:rsid w:val="34C57BA3"/>
    <w:rsid w:val="35095331"/>
    <w:rsid w:val="36C51DB4"/>
    <w:rsid w:val="37685434"/>
    <w:rsid w:val="398A6344"/>
    <w:rsid w:val="3C5509B0"/>
    <w:rsid w:val="3C8B539F"/>
    <w:rsid w:val="3CDB07C2"/>
    <w:rsid w:val="3D3A1B35"/>
    <w:rsid w:val="41EB06FA"/>
    <w:rsid w:val="4253152A"/>
    <w:rsid w:val="42E654F6"/>
    <w:rsid w:val="44870B32"/>
    <w:rsid w:val="45DD512C"/>
    <w:rsid w:val="4F0E5C90"/>
    <w:rsid w:val="504436B6"/>
    <w:rsid w:val="56E956F1"/>
    <w:rsid w:val="58641B15"/>
    <w:rsid w:val="586C7E6A"/>
    <w:rsid w:val="597D6D89"/>
    <w:rsid w:val="5E2A7133"/>
    <w:rsid w:val="61447228"/>
    <w:rsid w:val="620D7473"/>
    <w:rsid w:val="67D85766"/>
    <w:rsid w:val="691A77A4"/>
    <w:rsid w:val="69F13C2E"/>
    <w:rsid w:val="6E6D5537"/>
    <w:rsid w:val="702B12DF"/>
    <w:rsid w:val="71354CD5"/>
    <w:rsid w:val="71E77B29"/>
    <w:rsid w:val="73E32594"/>
    <w:rsid w:val="7A722D88"/>
    <w:rsid w:val="7A9131A4"/>
    <w:rsid w:val="7AF5262A"/>
    <w:rsid w:val="7B1B2007"/>
    <w:rsid w:val="7F6A308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Document Map"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1E9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unhideWhenUsed/>
    <w:qFormat/>
    <w:rsid w:val="00571E9D"/>
    <w:rPr>
      <w:rFonts w:ascii="宋体" w:eastAsia="宋体"/>
      <w:sz w:val="18"/>
      <w:szCs w:val="18"/>
    </w:rPr>
  </w:style>
  <w:style w:type="paragraph" w:styleId="a4">
    <w:name w:val="Balloon Text"/>
    <w:basedOn w:val="a"/>
    <w:link w:val="Char0"/>
    <w:uiPriority w:val="99"/>
    <w:semiHidden/>
    <w:unhideWhenUsed/>
    <w:qFormat/>
    <w:rsid w:val="00571E9D"/>
    <w:rPr>
      <w:sz w:val="18"/>
      <w:szCs w:val="18"/>
    </w:rPr>
  </w:style>
  <w:style w:type="paragraph" w:styleId="a5">
    <w:name w:val="footer"/>
    <w:basedOn w:val="a"/>
    <w:link w:val="Char1"/>
    <w:uiPriority w:val="99"/>
    <w:unhideWhenUsed/>
    <w:qFormat/>
    <w:rsid w:val="00571E9D"/>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571E9D"/>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6"/>
    <w:uiPriority w:val="99"/>
    <w:qFormat/>
    <w:rsid w:val="00571E9D"/>
    <w:rPr>
      <w:sz w:val="18"/>
      <w:szCs w:val="18"/>
    </w:rPr>
  </w:style>
  <w:style w:type="character" w:customStyle="1" w:styleId="Char1">
    <w:name w:val="页脚 Char"/>
    <w:basedOn w:val="a0"/>
    <w:link w:val="a5"/>
    <w:uiPriority w:val="99"/>
    <w:qFormat/>
    <w:rsid w:val="00571E9D"/>
    <w:rPr>
      <w:sz w:val="18"/>
      <w:szCs w:val="18"/>
    </w:rPr>
  </w:style>
  <w:style w:type="character" w:customStyle="1" w:styleId="Char">
    <w:name w:val="文档结构图 Char"/>
    <w:basedOn w:val="a0"/>
    <w:link w:val="a3"/>
    <w:uiPriority w:val="99"/>
    <w:semiHidden/>
    <w:qFormat/>
    <w:rsid w:val="00571E9D"/>
    <w:rPr>
      <w:rFonts w:ascii="宋体" w:eastAsia="宋体"/>
      <w:sz w:val="18"/>
      <w:szCs w:val="18"/>
    </w:rPr>
  </w:style>
  <w:style w:type="character" w:customStyle="1" w:styleId="Char0">
    <w:name w:val="批注框文本 Char"/>
    <w:basedOn w:val="a0"/>
    <w:link w:val="a4"/>
    <w:uiPriority w:val="99"/>
    <w:semiHidden/>
    <w:qFormat/>
    <w:rsid w:val="00571E9D"/>
    <w:rPr>
      <w:sz w:val="18"/>
      <w:szCs w:val="18"/>
    </w:rPr>
  </w:style>
</w:styles>
</file>

<file path=word/webSettings.xml><?xml version="1.0" encoding="utf-8"?>
<w:webSettings xmlns:r="http://schemas.openxmlformats.org/officeDocument/2006/relationships" xmlns:w="http://schemas.openxmlformats.org/wordprocessingml/2006/main">
  <w:divs>
    <w:div w:id="16003369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259</Words>
  <Characters>1482</Characters>
  <Application>Microsoft Office Word</Application>
  <DocSecurity>0</DocSecurity>
  <Lines>12</Lines>
  <Paragraphs>3</Paragraphs>
  <ScaleCrop>false</ScaleCrop>
  <Company/>
  <LinksUpToDate>false</LinksUpToDate>
  <CharactersWithSpaces>1738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2023-01-18T02:42:00Z</cp:lastPrinted>
  <dcterms:created xsi:type="dcterms:W3CDTF">2022-03-25T04:06:00Z</dcterms:created>
  <dcterms:modified xsi:type="dcterms:W3CDTF">2023-02-16T09:30:00Z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507F1AA871CC47A4947289B3D1F9A703</vt:lpwstr>
  </property>
</Properties>
</file>