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《电子凭证会计数据标准——银行电子对账单（试行版）》指南</w:t>
      </w:r>
    </w:p>
    <w:p>
      <w:pPr>
        <w:pStyle w:val="12"/>
        <w:wordWrap/>
        <w:spacing w:after="0" w:line="560" w:lineRule="exact"/>
      </w:pPr>
      <w:r>
        <w:rPr>
          <w:rFonts w:hint="eastAsia"/>
        </w:rPr>
        <w:t>为加快银行电子对账单应用和推广实施工作，助力国家数字经济发展和会计信息化建设，提升财政监管和税收征管效能，财政部遵循《可扩展商业报告语言（XBRL）技术规范》（GB/T 25500-2010）系列国家标准，研究起草了《电子凭证会计数据标准——银行电子对账单（试行版）》指南（以下简称《银行电子对账单</w:t>
      </w:r>
      <w:r>
        <w:rPr>
          <w:rFonts w:hint="eastAsia"/>
          <w:lang w:eastAsia="zh-CN"/>
        </w:rPr>
        <w:t>标准</w:t>
      </w:r>
      <w:r>
        <w:rPr>
          <w:rFonts w:hint="eastAsia"/>
        </w:rPr>
        <w:t>》）。《银行电子对账单</w:t>
      </w:r>
      <w:r>
        <w:rPr>
          <w:rFonts w:hint="eastAsia"/>
          <w:lang w:eastAsia="zh-CN"/>
        </w:rPr>
        <w:t>标准</w:t>
      </w:r>
      <w:r>
        <w:rPr>
          <w:rFonts w:hint="eastAsia"/>
        </w:rPr>
        <w:t>》以现行银行电子对账单为基础，反映了银行电子对账单承载的全部会计信息，以便企业在信息化条件下与日记账进行核对并完成归档工作。为方便阅读理解，我们起草了《电子凭证会计数据标准——银行电子对账单（试行版）》元素清单和本指南。</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本指南作为《银行电子对账单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》使用和实例文档解析的说明文件，应与元素清单一并阅读，旨在帮助具备一定XBRL知识的使用者了解《银行电子对账单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》的架构、内容以及实例文档的要素和解析方式。</w:t>
      </w:r>
    </w:p>
    <w:p>
      <w:pPr>
        <w:pStyle w:val="9"/>
        <w:numPr>
          <w:ilvl w:val="0"/>
          <w:numId w:val="1"/>
        </w:numPr>
        <w:wordWrap/>
        <w:spacing w:line="560" w:lineRule="exact"/>
        <w:ind w:firstLineChars="0"/>
        <w:outlineLvl w:val="0"/>
      </w:pPr>
      <w:r>
        <w:rPr>
          <w:rFonts w:hint="eastAsia"/>
        </w:rPr>
        <w:t>概述</w:t>
      </w:r>
    </w:p>
    <w:p>
      <w:pPr>
        <w:pStyle w:val="11"/>
        <w:numPr>
          <w:ilvl w:val="0"/>
          <w:numId w:val="2"/>
        </w:numPr>
        <w:wordWrap/>
        <w:spacing w:line="560" w:lineRule="exact"/>
        <w:ind w:firstLine="560"/>
        <w:outlineLvl w:val="1"/>
        <w:rPr>
          <w:rFonts w:ascii="Times New Roman" w:hAnsi="Times New Roman"/>
        </w:rPr>
      </w:pPr>
      <w:r>
        <w:rPr>
          <w:rFonts w:hint="eastAsia" w:ascii="Times New Roman" w:hAnsi="Times New Roman"/>
        </w:rPr>
        <w:t>银行电子对账单介绍</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电子对账单是银行以电子文件的形式记录您的账户在某一时期（通常为1个月）收、支方的发生额以及期末余额等项目的总账数据。</w:t>
      </w:r>
    </w:p>
    <w:p>
      <w:pPr>
        <w:pStyle w:val="11"/>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企业、单位提交银行电子对账单申请后，银行方将银行电子对账单结构化数据通过X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工具包生成实例文档并封装到OFD版式文件中，形成电子凭证银行对账单。企业方获取电子凭证文件后，通过X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工具包解析对账单底层的结构化数据，与日记账进行核对，并完成后续归档工作。</w:t>
      </w:r>
    </w:p>
    <w:p>
      <w:pPr>
        <w:pStyle w:val="9"/>
        <w:numPr>
          <w:ilvl w:val="0"/>
          <w:numId w:val="1"/>
        </w:numPr>
        <w:wordWrap/>
        <w:spacing w:line="560" w:lineRule="exact"/>
        <w:ind w:firstLineChars="0"/>
        <w:outlineLvl w:val="0"/>
      </w:pPr>
      <w:r>
        <w:rPr>
          <w:rFonts w:hint="eastAsia"/>
        </w:rPr>
        <w:t>银行电子对账单开具方</w:t>
      </w:r>
    </w:p>
    <w:p>
      <w:pPr>
        <w:pStyle w:val="11"/>
        <w:numPr>
          <w:ilvl w:val="0"/>
          <w:numId w:val="3"/>
        </w:numPr>
        <w:wordWrap/>
        <w:spacing w:line="560" w:lineRule="exact"/>
        <w:ind w:firstLine="560" w:firstLineChars="0"/>
        <w:outlineLvl w:val="1"/>
      </w:pPr>
      <w:r>
        <w:rPr>
          <w:rFonts w:hint="eastAsia"/>
        </w:rPr>
        <w:t>银行电子对账单示例-XBRL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银行电子对账单示例：</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xsi:schemaLocation="http://www.xbrl.org/2003/linkbase http://www.xbrl.org/2003/xbrl-linkbase-2003-12-31.xsd" xmlns:bkrs="http://xbrl.mof.gov.cn/taxonomy/2023-05-15/bkrs" xmlns:link="http://www.xbrl.org/2003/linkbase" xmlns:iso4217="http://www.xbrl.org/2003/iso4217" xmlns:xbrli="http://www.xbrl.org/2003/instance" xmlns:xlink="http://www.w3.org/1999/xlink"&gt;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xlink:href="bkrs_entry_point_2023-05-15.xsd"/&gt;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scheme="http://xbrl.mof.gov.cn"&gt;C1030311000455&lt;/xbrli:identifier&gt;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&lt;xbrli:instant&gt;2021-08-31&lt;/xbrli:instant&gt;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&lt;bkrs:IdentificationCodeOfIssuer contextRef="c1"&gt;C1030311000455&lt;/bkrs:IdentificationCodeOfIssuer&gt;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&lt;bkrs:NumberOfBankBranch contextRef="c1"&gt;001&lt;/bkrs:NumberOfBankBranch&gt;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&lt;bkrs:Currency contextRef="c1"&gt;CNY&lt;/bkrs:Currency&gt;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&lt;bkrs:CustomerSettlementBankAccount contextRef="c1"&gt;62XX000000010001&lt;/bkrs:CustomerSettlementBankAccount&gt;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&lt;bkrs:NameOfCustomerAccount contextRef="c1"&gt;ABC公司&lt;/bkrs:NameOfCustomerAccount&gt;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&lt;bkrs:CodeOfBankCustomer contextRef="c1"&gt;A123456&lt;/bkrs:CodeOfBankCustomer&gt;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&lt;bkrs:YearOfBankReconciliationStatement contextRef="c1"&gt;2021&lt;/bkrs:YearOfBankReconciliationStatement&gt;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&lt;bkrs:MonthOfBankReconciliationStatement contextRef="c1"&gt;08&lt;/bkrs:MonthOfBankReconciliationStatement&gt;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&lt;bkrs:PrintTimes contextRef="c1"&gt;1&lt;/bkrs:PrintTimes&gt;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&lt;bkrs:PrintDate contextRef="c1"&gt;2021-08-31&lt;/bkrs:PrintDate&gt;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&lt;bkrs:DateOfBookkeeping contextRef="c1"&gt;2021-08-03&lt;/bkrs:DateOfBookkeeping&gt;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&lt;bkrs:TypesOfBusinessProducts contextRef="c1"&gt;转账&lt;/bkrs:TypesOfBusinessProducts&gt;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&lt;bkrs:BusinessSerialNumber contextRef="c1"&gt;XXXXXXXXX1&lt;/bkrs:BusinessSerialNumber&gt;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&lt;bkrs:TypeOfSourceDocument contextRef="c1"&gt;支票&lt;/bkrs:TypeOfSourceDocument&gt;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&lt;bkrs:NumberOfSourceDocument contextRef="c1"&gt;0987654321&lt;/bkrs:NumberOfSourceDocument&gt;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&lt;bkrs:NotesOfBankElectronicReceipt contextRef="c1"&gt;转账业务&lt;/bkrs:NotesOfBankElectronicReceipt&gt;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&lt;bkrs:IdentificationOfCreditOrDebit contextRef="c1"&gt;0&lt;/bkrs:IdentificationOfCreditOrDebit&gt;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&lt;bkrs:TransactionAmount decimals="2" contextRef="c1" unitRef="u1"&gt;15177.33&lt;/bkrs:TransactionAmount&gt;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&lt;bkrs:DebitOrCreditOfBalance contextRef="c1"&gt;1&lt;/bkrs:DebitOrCreditOfBalance&gt;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 decimals="2" contextRef="c1" unitRef="u1"&gt;95445.32&lt;/bkrs:AccountBalance&gt;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&lt;bkrs:TransactionCode contextRef="c1"&gt;42062&lt;/bkrs:TransactionCode&gt;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&lt;bkrs:AccountOfCounterparty contextRef="c1"&gt;62XX000200020002&lt;/bkrs:AccountOfCounterparty&gt;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&lt;bkrs:NameOfCounterparty contextRef="c1"&gt;DEF公司&lt;/bkrs:NameOfCounterparty&gt;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&lt;bkrs:DepositoryBankOfCounterparty contextRef="c1"&gt;XX银行北京分行&lt;/bkrs:DepositoryBankOfCounterparty&gt;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&lt;bkrs:Bookkeeper contextRef="c1"&gt;08971&lt;/bkrs:Bookkeeper&gt;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&lt;bkrs:TimeOfBookkeeping contextRef="c1"&gt;08:34:23&lt;/bkrs:TimeOfBookkeeping&gt;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&lt;bkrs:JournalAccountOfBookkeeping contextRef="c1"&gt;XX交易记录&lt;/bkrs:JournalAccountOfBookkeeping&gt;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&lt;bkrs:NumberOfBankElectronicReceipt contextRef="c1"&gt;202108039029660024300000000001&lt;/bkrs:NumberOfBankElectronicReceipt&gt;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&lt;bkrs:DateOfBookkeeping contextRef="c1"&gt;2021-08-15&lt;/bkrs:DateOfBookkeeping&gt;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&lt;bkrs:TypesOfBusinessProducts contextRef="c1"&gt;转账&lt;/bkrs:TypesOfBusinessProducts&gt;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&lt;bkrs:BusinessSerialNumber contextRef="c1"&gt;XXXXXXXXX1&lt;/bkrs:BusinessSerialNumber&gt;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&lt;bkrs:TypeOfSourceDocument contextRef="c1"&gt;支票&lt;/bkrs:TypeOfSourceDocument&gt;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&lt;bkrs:NumberOfSourceDocument contextRef="c1"&gt;1234567890&lt;/bkrs:NumberOfSourceDocument&gt;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&lt;bkrs:NotesOfBankElectronicReceipt contextRef="c1"&gt;转账业务&lt;/bkrs:NotesOfBankElectronicReceipt&gt;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&lt;bkrs:IdentificationOfCreditOrDebit contextRef="c1"&gt;1&lt;/bkrs:IdentificationOfCreditOrDebit&gt;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&lt;bkrs:TransactionAmount decimals="2" contextRef="c1" unitRef="u1"&gt;156.22&lt;/bkrs:TransactionAmount&gt;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&lt;bkrs:DebitOrCreditOfBalance contextRef="c1"&gt;1&lt;/bkrs:DebitOrCreditOfBalance&gt;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 decimals="2" contextRef="c1" unitRef="u1"&gt;95601.54&lt;/bkrs:AccountBalance&gt;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&lt;bkrs:TransactionCode contextRef="c1"&gt;42063&lt;/bkrs:TransactionCode&gt;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&lt;bkrs:AccountOfCounterparty contextRef="c1"&gt;62XX000300030003&lt;/bkrs:AccountOfCounterparty&gt;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&lt;bkrs:NameOfCounterparty contextRef="c1"&gt;OPQ公司&lt;/bkrs:NameOfCounterparty&gt;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&lt;bkrs:DepositoryBankOfCounterparty contextRef="c1"&gt;XX银行朝阳支行&lt;/bkrs:DepositoryBankOfCounterparty&gt;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&lt;bkrs:Bookkeeper contextRef="c1"&gt;06587&lt;/bkrs:Bookkeeper&gt;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&lt;bkrs:TimeOfBookkeeping contextRef="c1"&gt;15:34:24&lt;/bkrs:TimeOfBookkeeping&gt;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&lt;bkrs:JournalAccountOfBookkeeping contextRef="c1"&gt;XX交易记录&lt;/bkrs:JournalAccountOfBookkeeping&gt;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&lt;bkrs:NumberOfBankElectronicReceipt contextRef="c1"&gt;202108157549660024300000000001&lt;/bkrs:NumberOfBankElectronicReceipt&gt;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&lt;bkrs:AccountBalanceAtTheEndOfReconciliationCycleAmount decimals="2" contextRef="c1" unitRef="u1"&gt;95601.54&lt;/bkrs:AccountBalanceAtTheEndOfReconciliationCycleAmount&gt;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&lt;bkrs:AvailableBalanceAtTheEndOfReconciliationCycleAmount decimals="2" contextRef="c1" unitRef="u1"&gt;95601.54&lt;/bkrs:AvailableBalanceAtTheEndOfReconciliationCycleAmount&gt;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1"/>
        <w:numPr>
          <w:ilvl w:val="0"/>
          <w:numId w:val="3"/>
        </w:numPr>
        <w:wordWrap/>
        <w:spacing w:line="560" w:lineRule="exact"/>
        <w:ind w:firstLine="560" w:firstLineChars="0"/>
        <w:outlineLvl w:val="1"/>
      </w:pPr>
      <w:r>
        <w:rPr>
          <w:rFonts w:hint="eastAsia"/>
        </w:rPr>
        <w:t>《银行电子对账单</w:t>
      </w:r>
      <w:r>
        <w:rPr>
          <w:rFonts w:hint="eastAsia"/>
          <w:lang w:eastAsia="zh-CN"/>
        </w:rPr>
        <w:t>标准</w:t>
      </w:r>
      <w:r>
        <w:rPr>
          <w:rFonts w:hint="eastAsia"/>
        </w:rPr>
        <w:t>》内容架构</w:t>
      </w:r>
    </w:p>
    <w:p>
      <w:pPr>
        <w:pStyle w:val="12"/>
        <w:wordWrap/>
        <w:spacing w:after="0" w:line="560" w:lineRule="exact"/>
      </w:pPr>
      <w:r>
        <w:rPr>
          <w:rFonts w:hint="eastAsia"/>
          <w:lang w:eastAsia="zh-CN"/>
        </w:rPr>
        <w:t>本标准</w:t>
      </w:r>
      <w:r>
        <w:rPr>
          <w:rFonts w:hint="eastAsia"/>
        </w:rPr>
        <w:t>对银行电子对账单信息进行了XBRL标记，表1列示了</w:t>
      </w:r>
      <w:r>
        <w:rPr>
          <w:rFonts w:hint="eastAsia"/>
          <w:lang w:eastAsia="zh-CN"/>
        </w:rPr>
        <w:t>标准</w:t>
      </w:r>
      <w:r>
        <w:rPr>
          <w:rFonts w:hint="eastAsia"/>
        </w:rPr>
        <w:t>标记的所有字段。</w:t>
      </w:r>
    </w:p>
    <w:p>
      <w:pPr>
        <w:pStyle w:val="12"/>
        <w:wordWrap/>
        <w:spacing w:after="0" w:line="560" w:lineRule="exact"/>
        <w:ind w:firstLine="0" w:firstLineChars="0"/>
        <w:jc w:val="center"/>
        <w:rPr>
          <w:b/>
          <w:bCs/>
          <w:sz w:val="24"/>
          <w:szCs w:val="24"/>
        </w:rPr>
      </w:pPr>
      <w:bookmarkStart w:id="0" w:name="_Hlk134719315"/>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w:t>
      </w:r>
      <w:bookmarkEnd w:id="0"/>
      <w:r>
        <w:rPr>
          <w:rFonts w:hint="eastAsia"/>
          <w:b/>
          <w:bCs/>
          <w:sz w:val="24"/>
          <w:szCs w:val="24"/>
        </w:rPr>
        <w:t>《银行电子对账单</w:t>
      </w:r>
      <w:r>
        <w:rPr>
          <w:rFonts w:hint="eastAsia"/>
          <w:b/>
          <w:bCs/>
          <w:sz w:val="24"/>
          <w:szCs w:val="24"/>
          <w:lang w:eastAsia="zh-CN"/>
        </w:rPr>
        <w:t>标准</w:t>
      </w:r>
      <w:r>
        <w:rPr>
          <w:rFonts w:hint="eastAsia"/>
          <w:b/>
          <w:bCs/>
          <w:sz w:val="24"/>
          <w:szCs w:val="24"/>
        </w:rPr>
        <w:t>》标记内容</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558"/>
        <w:gridCol w:w="1984"/>
        <w:gridCol w:w="127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51" w:type="dxa"/>
            <w:shd w:val="clear" w:color="auto" w:fill="auto"/>
            <w:noWrap/>
            <w:vAlign w:val="center"/>
          </w:tcPr>
          <w:p>
            <w:pPr>
              <w:pStyle w:val="12"/>
              <w:spacing w:after="0"/>
              <w:ind w:firstLine="0" w:firstLineChars="0"/>
              <w:jc w:val="center"/>
              <w:rPr>
                <w:b/>
                <w:bCs/>
                <w:sz w:val="24"/>
                <w:szCs w:val="28"/>
              </w:rPr>
            </w:pPr>
            <w:r>
              <w:rPr>
                <w:rFonts w:hint="eastAsia"/>
                <w:b/>
                <w:bCs/>
                <w:sz w:val="24"/>
                <w:szCs w:val="28"/>
              </w:rPr>
              <w:t>序号</w:t>
            </w:r>
          </w:p>
        </w:tc>
        <w:tc>
          <w:tcPr>
            <w:tcW w:w="1558" w:type="dxa"/>
            <w:shd w:val="clear" w:color="auto" w:fill="auto"/>
            <w:noWrap/>
            <w:vAlign w:val="center"/>
          </w:tcPr>
          <w:p>
            <w:pPr>
              <w:pStyle w:val="12"/>
              <w:spacing w:after="0"/>
              <w:ind w:firstLine="0" w:firstLineChars="0"/>
              <w:jc w:val="center"/>
              <w:rPr>
                <w:b/>
                <w:bCs/>
                <w:sz w:val="24"/>
                <w:szCs w:val="28"/>
              </w:rPr>
            </w:pPr>
            <w:r>
              <w:rPr>
                <w:rFonts w:hint="eastAsia"/>
                <w:b/>
                <w:bCs/>
                <w:sz w:val="24"/>
                <w:szCs w:val="28"/>
              </w:rPr>
              <w:t>分组名称</w:t>
            </w:r>
          </w:p>
        </w:tc>
        <w:tc>
          <w:tcPr>
            <w:tcW w:w="1984" w:type="dxa"/>
            <w:shd w:val="clear" w:color="auto" w:fill="auto"/>
            <w:noWrap/>
            <w:vAlign w:val="center"/>
          </w:tcPr>
          <w:p>
            <w:pPr>
              <w:pStyle w:val="12"/>
              <w:spacing w:after="0"/>
              <w:ind w:firstLine="0" w:firstLineChars="0"/>
              <w:jc w:val="center"/>
              <w:rPr>
                <w:b/>
                <w:bCs/>
                <w:sz w:val="24"/>
                <w:szCs w:val="28"/>
              </w:rPr>
            </w:pPr>
            <w:r>
              <w:rPr>
                <w:rFonts w:hint="eastAsia"/>
                <w:b/>
                <w:bCs/>
                <w:sz w:val="24"/>
                <w:szCs w:val="28"/>
              </w:rPr>
              <w:t>字段名称</w:t>
            </w:r>
          </w:p>
        </w:tc>
        <w:tc>
          <w:tcPr>
            <w:tcW w:w="1277" w:type="dxa"/>
            <w:shd w:val="clear" w:color="auto" w:fill="auto"/>
            <w:noWrap/>
            <w:vAlign w:val="center"/>
          </w:tcPr>
          <w:p>
            <w:pPr>
              <w:pStyle w:val="12"/>
              <w:spacing w:after="0"/>
              <w:ind w:firstLine="0" w:firstLineChars="0"/>
              <w:jc w:val="center"/>
              <w:rPr>
                <w:b/>
                <w:bCs/>
                <w:sz w:val="24"/>
                <w:szCs w:val="28"/>
              </w:rPr>
            </w:pPr>
            <w:r>
              <w:rPr>
                <w:rFonts w:hint="eastAsia"/>
                <w:b/>
                <w:bCs/>
                <w:sz w:val="24"/>
                <w:szCs w:val="28"/>
              </w:rPr>
              <w:t>数值类型</w:t>
            </w:r>
          </w:p>
        </w:tc>
        <w:tc>
          <w:tcPr>
            <w:tcW w:w="2835" w:type="dxa"/>
            <w:shd w:val="clear" w:color="auto" w:fill="auto"/>
            <w:noWrap/>
            <w:vAlign w:val="center"/>
          </w:tcPr>
          <w:p>
            <w:pPr>
              <w:pStyle w:val="12"/>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w:t>
            </w:r>
          </w:p>
        </w:tc>
        <w:tc>
          <w:tcPr>
            <w:tcW w:w="1558" w:type="dxa"/>
            <w:vMerge w:val="restart"/>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对账单抬头信息</w:t>
            </w: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签发机构</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符合人民银行《金融机构编码规范》的银行总行金融机构编码（14位）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营业网点编号</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客户账户归属的网点号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币种</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采用三位国标编码，每份对账单只针对一个币种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4</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客户结算账号</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5</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客户账户名称</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6</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银行客户编码</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7</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银行对账单年份</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年份型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8</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银行对账单月份</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rFonts w:ascii="微软雅黑" w:hAnsi="微软雅黑" w:eastAsia="微软雅黑"/>
                <w:sz w:val="20"/>
                <w:szCs w:val="20"/>
              </w:rPr>
            </w:pPr>
            <w:r>
              <w:rPr>
                <w:rFonts w:hint="eastAsia"/>
                <w:bCs/>
                <w:sz w:val="24"/>
                <w:szCs w:val="24"/>
              </w:rPr>
              <w:t>填写银行对账单月份，如06。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9</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打印次数</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该对账单打印次数统计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10</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打印日期</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日期型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11</w:t>
            </w:r>
          </w:p>
        </w:tc>
        <w:tc>
          <w:tcPr>
            <w:tcW w:w="1558" w:type="dxa"/>
            <w:vMerge w:val="restart"/>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对账明细信息</w:t>
            </w: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记账日期</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日期型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12</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业务产品种类</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区分业务种类，例如现金、转账、发报、银税等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13</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业务流水号</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交易的唯一单号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14</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原始凭证种类</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如051-支票等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15</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原始凭证号码</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如支票号码等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16</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银行电子回单信息摘要</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17</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借贷标志</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标记每条会计分录的借贷方向，其中0代表借方，1代表贷方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18</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交易金额</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19</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余额方向</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标记余额的借贷方向，其中0代表借方，1代表贷方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20</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账户余额</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21</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交易代码</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22</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对方账号</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23</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对方户名</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24</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对方开户行</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交易对手方开户行名称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25</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记账柜员</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26</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记账时间</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时间型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27</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记账流水</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28</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其他记账信息</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r>
              <w:rPr>
                <w:rFonts w:hint="eastAsia"/>
                <w:bCs/>
                <w:sz w:val="24"/>
                <w:szCs w:val="24"/>
              </w:rPr>
              <w:t>除记账柜员、时间、流水以外的其他记账信息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29</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银行电子回单编号</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30</w:t>
            </w:r>
          </w:p>
        </w:tc>
        <w:tc>
          <w:tcPr>
            <w:tcW w:w="1558" w:type="dxa"/>
            <w:vMerge w:val="restart"/>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对账周期末信息</w:t>
            </w: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对账周期末账户余额（额度）</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31</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对账周期末保留余额</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32</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对账周期末冻结余额</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33</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对账周期末透支余额</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3</w:t>
            </w:r>
            <w:r>
              <w:rPr>
                <w:bCs/>
                <w:sz w:val="24"/>
                <w:szCs w:val="24"/>
              </w:rPr>
              <w:t>4</w:t>
            </w:r>
          </w:p>
        </w:tc>
        <w:tc>
          <w:tcPr>
            <w:tcW w:w="1558" w:type="dxa"/>
            <w:vMerge w:val="continue"/>
            <w:vAlign w:val="center"/>
          </w:tcPr>
          <w:p>
            <w:pPr>
              <w:pStyle w:val="12"/>
              <w:wordWrap/>
              <w:spacing w:after="0" w:line="240" w:lineRule="auto"/>
              <w:ind w:firstLine="0" w:firstLineChars="0"/>
              <w:jc w:val="center"/>
              <w:rPr>
                <w:bCs/>
                <w:sz w:val="24"/>
                <w:szCs w:val="24"/>
              </w:rPr>
            </w:pPr>
          </w:p>
        </w:tc>
        <w:tc>
          <w:tcPr>
            <w:tcW w:w="1984"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对账周期末可用余额（额度）</w:t>
            </w:r>
          </w:p>
        </w:tc>
        <w:tc>
          <w:tcPr>
            <w:tcW w:w="1277" w:type="dxa"/>
            <w:shd w:val="clear" w:color="auto" w:fill="auto"/>
            <w:noWrap/>
            <w:vAlign w:val="center"/>
          </w:tcPr>
          <w:p>
            <w:pPr>
              <w:pStyle w:val="12"/>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2"/>
              <w:wordWrap/>
              <w:spacing w:after="0" w:line="240" w:lineRule="auto"/>
              <w:ind w:firstLine="0" w:firstLineChars="0"/>
              <w:rPr>
                <w:bCs/>
                <w:sz w:val="24"/>
                <w:szCs w:val="24"/>
              </w:rPr>
            </w:pPr>
          </w:p>
        </w:tc>
      </w:tr>
    </w:tbl>
    <w:p>
      <w:pPr>
        <w:pStyle w:val="11"/>
        <w:numPr>
          <w:ilvl w:val="0"/>
          <w:numId w:val="3"/>
        </w:numPr>
        <w:wordWrap/>
        <w:spacing w:line="560" w:lineRule="exact"/>
        <w:ind w:firstLine="560" w:firstLineChars="0"/>
        <w:outlineLvl w:val="1"/>
      </w:pPr>
      <w:r>
        <w:rPr>
          <w:rFonts w:hint="eastAsia"/>
        </w:rPr>
        <w:t>X</w:t>
      </w:r>
      <w:r>
        <w:t>BRL</w:t>
      </w:r>
      <w:r>
        <w:rPr>
          <w:rFonts w:hint="eastAsia"/>
        </w:rPr>
        <w:t>实例文档要素说明</w:t>
      </w:r>
    </w:p>
    <w:p>
      <w:pPr>
        <w:pStyle w:val="12"/>
        <w:wordWrap/>
        <w:spacing w:after="0" w:line="560" w:lineRule="exact"/>
      </w:pPr>
      <w:r>
        <w:rPr>
          <w:rFonts w:hint="eastAsia"/>
        </w:rPr>
        <w:t>实例文档作为银行电子对账单结构化数据的载体，不仅包含了数据本身及其与《银行电子对账单</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12"/>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12"/>
        <w:numPr>
          <w:ilvl w:val="0"/>
          <w:numId w:val="4"/>
        </w:numPr>
        <w:wordWrap/>
        <w:spacing w:after="0" w:line="560" w:lineRule="exact"/>
        <w:ind w:firstLineChars="0"/>
        <w:rPr>
          <w:b/>
          <w:bCs/>
        </w:rPr>
      </w:pPr>
      <w:r>
        <w:rPr>
          <w:rFonts w:hint="eastAsia"/>
          <w:b/>
          <w:bCs/>
        </w:rPr>
        <w:t>根元素</w:t>
      </w:r>
    </w:p>
    <w:p>
      <w:pPr>
        <w:pStyle w:val="12"/>
        <w:wordWrap/>
        <w:spacing w:after="0" w:line="560" w:lineRule="exact"/>
      </w:pPr>
      <w:r>
        <w:rPr>
          <w:rFonts w:hint="eastAsia"/>
        </w:rPr>
        <w:t>实例文档根元素的标签名是&lt;xbrli:xbrl&gt;，根元素标签的属性是实例文档所引用的所有命名空间信息，其中也包括《银行电子对账单</w:t>
      </w:r>
      <w:r>
        <w:rPr>
          <w:rFonts w:hint="eastAsia"/>
          <w:lang w:eastAsia="zh-CN"/>
        </w:rPr>
        <w:t>标准</w:t>
      </w:r>
      <w:r>
        <w:rPr>
          <w:rFonts w:hint="eastAsia"/>
        </w:rPr>
        <w:t>》前缀bkrs，具体如下表2所示：</w:t>
      </w:r>
    </w:p>
    <w:p>
      <w:pPr>
        <w:pStyle w:val="12"/>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sz w:val="24"/>
          <w:szCs w:val="24"/>
        </w:rPr>
        <w:t>《银行电子对账单</w:t>
      </w:r>
      <w:r>
        <w:rPr>
          <w:rFonts w:hint="eastAsia"/>
          <w:b/>
          <w:sz w:val="24"/>
          <w:szCs w:val="24"/>
          <w:lang w:eastAsia="zh-CN"/>
        </w:rPr>
        <w:t>标准</w:t>
      </w:r>
      <w:r>
        <w:rPr>
          <w:rFonts w:hint="eastAsia"/>
          <w:b/>
          <w:sz w:val="24"/>
          <w:szCs w:val="24"/>
        </w:rPr>
        <w:t>》标记内容</w:t>
      </w:r>
    </w:p>
    <w:tbl>
      <w:tblPr>
        <w:tblStyle w:val="5"/>
        <w:tblW w:w="9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7"/>
        <w:gridCol w:w="3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3475"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bkrs</w:t>
            </w:r>
          </w:p>
        </w:tc>
        <w:tc>
          <w:tcPr>
            <w:tcW w:w="524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w:t>
            </w:r>
            <w:r>
              <w:rPr>
                <w:rFonts w:hint="eastAsia" w:ascii="Times New Roman" w:hAnsi="Times New Roman" w:eastAsia="仿宋_GB2312"/>
                <w:sz w:val="24"/>
                <w:szCs w:val="24"/>
              </w:rPr>
              <w:t>bkrs</w:t>
            </w:r>
          </w:p>
        </w:tc>
        <w:tc>
          <w:tcPr>
            <w:tcW w:w="3475"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银行电子对账单</w:t>
            </w:r>
            <w:r>
              <w:rPr>
                <w:rFonts w:hint="eastAsia" w:ascii="Times New Roman" w:hAnsi="Times New Roman" w:eastAsia="仿宋_GB2312"/>
                <w:sz w:val="24"/>
                <w:szCs w:val="24"/>
                <w:lang w:eastAsia="zh-CN"/>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num</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http://www.xbrl.org/dtr/type/numeric</w:t>
            </w:r>
          </w:p>
        </w:tc>
        <w:tc>
          <w:tcPr>
            <w:tcW w:w="3475" w:type="dxa"/>
          </w:tcPr>
          <w:p>
            <w:pPr>
              <w:spacing w:after="0" w:line="240" w:lineRule="auto"/>
              <w:jc w:val="both"/>
              <w:rPr>
                <w:rFonts w:ascii="Times New Roman" w:hAnsi="Times New Roman" w:eastAsia="仿宋_GB2312"/>
                <w:color w:val="000000"/>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xbrldt</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http://xbrl.org/2005/xbrldt</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立方体、维度替换组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2"/>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pStyle w:val="12"/>
        <w:wordWrap/>
        <w:spacing w:after="0" w:line="560" w:lineRule="exact"/>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标签定义实例文档对《银行电子对账单</w:t>
      </w:r>
      <w:r>
        <w:rPr>
          <w:rFonts w:hint="eastAsia"/>
          <w:lang w:eastAsia="zh-CN"/>
        </w:rPr>
        <w:t>标准</w:t>
      </w:r>
      <w:r>
        <w:rPr>
          <w:rFonts w:hint="eastAsia"/>
        </w:rPr>
        <w:t>》文件的引用，通过“</w:t>
      </w:r>
      <w:r>
        <w:t>xlink:href</w:t>
      </w:r>
      <w:r>
        <w:rPr>
          <w:rFonts w:hint="eastAsia"/>
        </w:rPr>
        <w:t>”指向引用《银行电子对账单</w:t>
      </w:r>
      <w:r>
        <w:rPr>
          <w:rFonts w:hint="eastAsia"/>
          <w:lang w:eastAsia="zh-CN"/>
        </w:rPr>
        <w:t>标准</w:t>
      </w:r>
      <w:r>
        <w:rPr>
          <w:rFonts w:hint="eastAsia"/>
        </w:rPr>
        <w:t>》的相对地址：</w:t>
      </w:r>
    </w:p>
    <w:p>
      <w:pPr>
        <w:pStyle w:val="12"/>
        <w:wordWrap/>
        <w:spacing w:after="0" w:line="560" w:lineRule="exact"/>
      </w:pPr>
      <w:r>
        <w:t>&lt;link:schemaRef xlink:type="simple" xlink:href="bkrs_entry_point_2023-05-15.xsd"/&gt;</w:t>
      </w:r>
    </w:p>
    <w:p>
      <w:pPr>
        <w:pStyle w:val="12"/>
        <w:numPr>
          <w:ilvl w:val="0"/>
          <w:numId w:val="4"/>
        </w:numPr>
        <w:wordWrap/>
        <w:spacing w:after="0" w:line="560" w:lineRule="exact"/>
        <w:ind w:firstLineChars="0"/>
        <w:rPr>
          <w:b/>
          <w:bCs/>
        </w:rPr>
      </w:pPr>
      <w:r>
        <w:rPr>
          <w:rFonts w:hint="eastAsia"/>
          <w:b/>
          <w:bCs/>
        </w:rPr>
        <w:t>事实值</w:t>
      </w:r>
    </w:p>
    <w:p>
      <w:pPr>
        <w:pStyle w:val="12"/>
        <w:wordWrap/>
        <w:spacing w:after="0" w:line="560" w:lineRule="exact"/>
      </w:pPr>
      <w:r>
        <w:rPr>
          <w:rFonts w:hint="eastAsia"/>
        </w:rPr>
        <w:t>事实值就是银行电子对账单版面信息填写</w:t>
      </w:r>
      <w:r>
        <w:t>的</w:t>
      </w:r>
      <w:r>
        <w:rPr>
          <w:rFonts w:hint="eastAsia"/>
        </w:rPr>
        <w:t>内容，例如对于“营业网点编号”这个项目，其事实值就是银行电子对账单抬头信息中的营业网点编号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t>3</w:t>
      </w:r>
      <w:r>
        <w:rPr>
          <w:rFonts w:hint="eastAsia"/>
        </w:rPr>
        <w:t>列示了部分事实值。</w:t>
      </w:r>
    </w:p>
    <w:p>
      <w:pPr>
        <w:pStyle w:val="12"/>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3</w:t>
      </w:r>
      <w:r>
        <w:rPr>
          <w:bCs/>
          <w:sz w:val="24"/>
          <w:szCs w:val="24"/>
        </w:rPr>
        <w:fldChar w:fldCharType="end"/>
      </w:r>
      <w:r>
        <w:rPr>
          <w:rFonts w:hint="eastAsia"/>
          <w:b/>
          <w:bCs/>
          <w:sz w:val="24"/>
          <w:szCs w:val="24"/>
        </w:rPr>
        <w:t>：</w:t>
      </w:r>
      <w:r>
        <w:rPr>
          <w:rFonts w:hint="eastAsia"/>
          <w:b/>
          <w:sz w:val="24"/>
          <w:szCs w:val="24"/>
        </w:rPr>
        <w:t>事实值举例</w:t>
      </w:r>
    </w:p>
    <w:tbl>
      <w:tblPr>
        <w:tblStyle w:val="5"/>
        <w:tblW w:w="9963"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4322"/>
        <w:gridCol w:w="286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银行电子对账单信息项</w:t>
            </w:r>
          </w:p>
        </w:tc>
        <w:tc>
          <w:tcPr>
            <w:tcW w:w="432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交易金额</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15177.33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打印日期</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原始凭证种类</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支票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记账时间</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08:34:23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银行对账单年份</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年份型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w:t>
            </w:r>
          </w:p>
        </w:tc>
      </w:tr>
    </w:tbl>
    <w:p>
      <w:pPr>
        <w:pStyle w:val="17"/>
        <w:wordWrap/>
        <w:spacing w:after="0" w:line="560" w:lineRule="exact"/>
        <w:ind w:firstLineChars="0"/>
        <w:outlineLvl w:val="9"/>
      </w:pPr>
      <w:r>
        <w:rPr>
          <w:rFonts w:cs="Times New Roman"/>
        </w:rPr>
        <w:t>1</w:t>
      </w:r>
      <w:r>
        <w:rPr>
          <w:rFonts w:hint="eastAsia" w:cs="Times New Roman"/>
        </w:rPr>
        <w:t>．</w:t>
      </w:r>
      <w:r>
        <w:rPr>
          <w:rFonts w:hint="eastAsia"/>
        </w:rPr>
        <w:t>数值型事实值</w:t>
      </w:r>
    </w:p>
    <w:p>
      <w:pPr>
        <w:pStyle w:val="12"/>
        <w:wordWrap/>
        <w:spacing w:after="0" w:line="560" w:lineRule="exact"/>
      </w:pPr>
      <w:r>
        <w:rPr>
          <w:rFonts w:hint="eastAsia"/>
        </w:rPr>
        <w:t>数值型事实值的定义，除了通过contextRef指向一个预定义的上下文（context），还会通过unitRef指向一个预定的单位（unit），并通过事实值的decimal</w:t>
      </w:r>
      <w:r>
        <w:t>s</w:t>
      </w:r>
      <w:r>
        <w:rPr>
          <w:rFonts w:hint="eastAsia"/>
        </w:rPr>
        <w:t>（小数点后位数）属性表达数据的精确度，图1是“交易金额”对应的事实值定义信息：</w:t>
      </w:r>
    </w:p>
    <w:tbl>
      <w:tblPr>
        <w:tblStyle w:val="6"/>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pStyle w:val="12"/>
              <w:spacing w:after="312" w:afterLines="100" w:line="560" w:lineRule="exact"/>
              <w:ind w:firstLine="0" w:firstLineChars="0"/>
              <w:rPr>
                <w:sz w:val="24"/>
                <w:szCs w:val="24"/>
              </w:rPr>
            </w:pPr>
            <w:r>
              <w:rPr>
                <w:sz w:val="24"/>
                <w:szCs w:val="24"/>
              </w:rPr>
              <w:t xml:space="preserve">    &lt;bkrs:TransactionAmount decimals="2" contextRef="</w:t>
            </w:r>
            <w:r>
              <w:rPr>
                <w:rFonts w:hint="eastAsia"/>
                <w:sz w:val="24"/>
                <w:szCs w:val="24"/>
              </w:rPr>
              <w:t>c</w:t>
            </w:r>
            <w:r>
              <w:rPr>
                <w:sz w:val="24"/>
                <w:szCs w:val="24"/>
              </w:rPr>
              <w:t>1" unitRef="CNY"&gt;15177.33&lt;/bkrs:TransactionAmount&gt;</w:t>
            </w:r>
          </w:p>
        </w:tc>
      </w:tr>
    </w:tbl>
    <w:p>
      <w:pPr>
        <w:pStyle w:val="12"/>
        <w:wordWrap/>
        <w:spacing w:after="0" w:line="560" w:lineRule="exact"/>
        <w:ind w:firstLine="0" w:firstLineChars="0"/>
        <w:jc w:val="center"/>
        <w:rPr>
          <w:b/>
          <w:sz w:val="24"/>
          <w:szCs w:val="24"/>
        </w:rPr>
      </w:pPr>
      <w:r>
        <w:rPr>
          <w:rFonts w:hint="eastAsia"/>
          <w:b/>
          <w:sz w:val="24"/>
          <w:szCs w:val="24"/>
        </w:rPr>
        <w:t>图1：数值型事实值定义方式示例</w:t>
      </w:r>
    </w:p>
    <w:p>
      <w:pPr>
        <w:pStyle w:val="17"/>
        <w:keepNext w:val="0"/>
        <w:keepLines w:val="0"/>
        <w:pageBreakBefore w:val="0"/>
        <w:widowControl/>
        <w:kinsoku/>
        <w:wordWrap/>
        <w:overflowPunct/>
        <w:topLinePunct w:val="0"/>
        <w:autoSpaceDE/>
        <w:autoSpaceDN/>
        <w:bidi w:val="0"/>
        <w:adjustRightInd/>
        <w:snapToGrid/>
        <w:spacing w:after="0" w:line="560" w:lineRule="exact"/>
        <w:ind w:firstLine="562" w:firstLineChars="200"/>
        <w:textAlignment w:val="auto"/>
        <w:outlineLvl w:val="9"/>
      </w:pPr>
      <w:r>
        <w:rPr>
          <w:rFonts w:cs="Times New Roman"/>
        </w:rPr>
        <w:t>2</w:t>
      </w:r>
      <w:r>
        <w:rPr>
          <w:rFonts w:hint="eastAsia" w:cs="Times New Roman"/>
        </w:rPr>
        <w:t>．</w:t>
      </w:r>
      <w:r>
        <w:rPr>
          <w:rFonts w:hint="eastAsia"/>
        </w:rPr>
        <w:t>非数值型事实值</w:t>
      </w:r>
    </w:p>
    <w:p>
      <w:pPr>
        <w:pStyle w:val="12"/>
        <w:wordWrap/>
        <w:spacing w:after="0" w:line="560" w:lineRule="exact"/>
      </w:pPr>
      <w:r>
        <w:rPr>
          <w:rFonts w:hint="eastAsia"/>
        </w:rPr>
        <w:t>非数值型事实值的定义，是将事实值赋予给对应的元素名，并通过contextRef指向一个预定义的上下文（context），图2为“原始凭证种类”对应的事实值定义信息：</w:t>
      </w:r>
    </w:p>
    <w:tbl>
      <w:tblPr>
        <w:tblStyle w:val="6"/>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pStyle w:val="12"/>
              <w:spacing w:after="312" w:afterLines="100" w:line="560" w:lineRule="exact"/>
              <w:ind w:firstLine="0" w:firstLineChars="0"/>
              <w:rPr>
                <w:sz w:val="24"/>
                <w:szCs w:val="24"/>
              </w:rPr>
            </w:pPr>
            <w:r>
              <w:rPr>
                <w:rFonts w:hint="eastAsia"/>
                <w:sz w:val="24"/>
                <w:szCs w:val="24"/>
              </w:rPr>
              <w:t xml:space="preserve">   &lt;bkrs:TypeOfSourceDocument contextRef="</w:t>
            </w:r>
            <w:r>
              <w:rPr>
                <w:sz w:val="24"/>
                <w:szCs w:val="24"/>
              </w:rPr>
              <w:t>c1</w:t>
            </w:r>
            <w:r>
              <w:rPr>
                <w:rFonts w:hint="eastAsia"/>
                <w:sz w:val="24"/>
                <w:szCs w:val="24"/>
              </w:rPr>
              <w:t>"&gt;支票&lt;/bkrs:TypeOfSourceDocument&gt;</w:t>
            </w:r>
          </w:p>
        </w:tc>
      </w:tr>
    </w:tbl>
    <w:p>
      <w:pPr>
        <w:pStyle w:val="12"/>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2"/>
        <w:numPr>
          <w:ilvl w:val="0"/>
          <w:numId w:val="4"/>
        </w:numPr>
        <w:wordWrap/>
        <w:spacing w:after="0" w:line="560" w:lineRule="exact"/>
        <w:ind w:firstLineChars="0"/>
        <w:rPr>
          <w:b/>
          <w:bCs/>
        </w:rPr>
      </w:pPr>
      <w:r>
        <w:rPr>
          <w:rFonts w:hint="eastAsia"/>
          <w:b/>
          <w:bCs/>
        </w:rPr>
        <w:t>上下文</w:t>
      </w:r>
    </w:p>
    <w:p>
      <w:pPr>
        <w:pStyle w:val="12"/>
        <w:wordWrap/>
        <w:spacing w:after="0" w:line="560" w:lineRule="exact"/>
      </w:pPr>
      <w:r>
        <w:rPr>
          <w:rFonts w:hint="eastAsia"/>
        </w:rPr>
        <w:t>每个事实值都会通过contextRef属性赋予的上下文ID指向预定义的上下文（context）。</w:t>
      </w:r>
      <w:r>
        <w:t>通过指定上下文，才能够确定事实值的具体含义</w:t>
      </w:r>
      <w:r>
        <w:rPr>
          <w:rFonts w:hint="eastAsia"/>
        </w:rPr>
        <w:t>。</w:t>
      </w:r>
    </w:p>
    <w:p>
      <w:pPr>
        <w:pStyle w:val="12"/>
        <w:wordWrap/>
        <w:spacing w:after="0" w:line="560" w:lineRule="exact"/>
      </w:pPr>
      <w:r>
        <w:rPr>
          <w:rFonts w:hint="eastAsia"/>
        </w:rPr>
        <w:t>上下文要素包括：实体信息（entity）、时期信息（period）和场景信息（scenario）。在根标签下，使用使用&lt;xbrli:context&gt;标签定义元素数据的上下文信息，下设子标签&lt;xbrli:entity&gt;、&lt;xbrli:period&gt;、&lt;xbrli:scenario&gt;，用于标记上文所述的实体信息、时期信息和场景信息。</w:t>
      </w:r>
    </w:p>
    <w:p>
      <w:pPr>
        <w:pStyle w:val="17"/>
        <w:wordWrap/>
        <w:spacing w:after="0" w:line="560" w:lineRule="exact"/>
        <w:ind w:left="562" w:firstLine="0" w:firstLineChars="0"/>
        <w:outlineLvl w:val="9"/>
      </w:pPr>
      <w:r>
        <w:rPr>
          <w:rFonts w:cs="Times New Roman"/>
        </w:rPr>
        <w:t>1</w:t>
      </w:r>
      <w:r>
        <w:rPr>
          <w:rFonts w:hint="eastAsia" w:cs="Times New Roman"/>
        </w:rPr>
        <w:t>．</w:t>
      </w:r>
      <w:r>
        <w:rPr>
          <w:rFonts w:hint="eastAsia"/>
        </w:rPr>
        <w:t>实体信息</w:t>
      </w:r>
    </w:p>
    <w:p>
      <w:pPr>
        <w:pStyle w:val="12"/>
        <w:rPr>
          <w:b/>
        </w:rPr>
      </w:pPr>
      <w:r>
        <w:rPr>
          <w:rFonts w:hint="eastAsia"/>
        </w:rPr>
        <w:t>实体信息即指实例文档数据的发布者信息，使用标签&lt;xbrli:entity&gt;标记。在银行电子对账单中，使用签发机构的金融机构代码证编码作为实体的唯一标识码，在&lt;xbrli:identifier&gt;标签的文本中标记。</w:t>
      </w:r>
    </w:p>
    <w:p>
      <w:pPr>
        <w:pStyle w:val="17"/>
        <w:wordWrap/>
        <w:spacing w:after="0" w:line="560" w:lineRule="exact"/>
        <w:ind w:left="562" w:firstLine="0" w:firstLineChars="0"/>
        <w:outlineLvl w:val="9"/>
      </w:pPr>
      <w:r>
        <w:rPr>
          <w:rFonts w:cs="Times New Roman"/>
        </w:rPr>
        <w:t>2</w:t>
      </w:r>
      <w:r>
        <w:rPr>
          <w:rFonts w:hint="eastAsia" w:cs="Times New Roman"/>
        </w:rPr>
        <w:t>．</w:t>
      </w:r>
      <w:r>
        <w:rPr>
          <w:rFonts w:hint="eastAsia"/>
        </w:rPr>
        <w:t>时期信息</w:t>
      </w:r>
    </w:p>
    <w:p>
      <w:pPr>
        <w:pStyle w:val="12"/>
      </w:pPr>
      <w:r>
        <w:rPr>
          <w:rFonts w:hint="eastAsia"/>
          <w:color w:val="000000"/>
          <w:szCs w:val="24"/>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使用标签&lt;xbrli:period&gt;标记。在银行电子对账单中，期间类型均为时点型，使用&lt;xbrli:instant&gt;标签表示，统一采用yyyy-mm-dd的日期格式。</w:t>
      </w:r>
    </w:p>
    <w:p>
      <w:pPr>
        <w:pStyle w:val="12"/>
        <w:numPr>
          <w:ilvl w:val="0"/>
          <w:numId w:val="4"/>
        </w:numPr>
        <w:wordWrap/>
        <w:spacing w:after="0" w:line="560" w:lineRule="exact"/>
        <w:ind w:firstLineChars="0"/>
        <w:rPr>
          <w:b/>
          <w:bCs/>
        </w:rPr>
      </w:pPr>
      <w:r>
        <w:rPr>
          <w:rFonts w:hint="eastAsia"/>
          <w:b/>
          <w:bCs/>
        </w:rPr>
        <w:t>单位和精确度</w:t>
      </w:r>
    </w:p>
    <w:p>
      <w:pPr>
        <w:pStyle w:val="12"/>
      </w:pPr>
      <w:r>
        <w:rPr>
          <w:rFonts w:hint="eastAsia"/>
        </w:rPr>
        <w:t>单位</w:t>
      </w:r>
      <w:r>
        <w:t>是用来说明数值型数据（非字符串及转义文本）的度量单位，最常见的度量单位就是货币型的单位，例如人民币、美元等。数值型数据的事实值应通过</w:t>
      </w:r>
      <w:r>
        <w:rPr>
          <w:rFonts w:hint="eastAsia"/>
        </w:rPr>
        <w:t>单位指向（</w:t>
      </w:r>
      <w:r>
        <w:t>unitRef</w:t>
      </w:r>
      <w:r>
        <w:rPr>
          <w:rFonts w:hint="eastAsia"/>
        </w:rPr>
        <w:t>）</w:t>
      </w:r>
      <w:r>
        <w:t>属性</w:t>
      </w:r>
      <w:r>
        <w:rPr>
          <w:rFonts w:hint="eastAsia"/>
        </w:rPr>
        <w:t>将定义</w:t>
      </w:r>
      <w:r>
        <w:t>的单位ID（</w:t>
      </w:r>
      <w:r>
        <w:rPr>
          <w:rFonts w:hint="eastAsia"/>
        </w:rPr>
        <w:t>u</w:t>
      </w:r>
      <w: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12"/>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5"/>
        <w:tblW w:w="9963"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3"/>
        <w:gridCol w:w="2303"/>
        <w:gridCol w:w="229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286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2"/>
      </w:pPr>
      <w:r>
        <w:rPr>
          <w:rFonts w:hint="eastAsia"/>
        </w:rPr>
        <w:t>在根标签中，使用&lt;xbrli:unit&gt;标签预定义计量单位，单位的定义方式如下图所示：</w:t>
      </w:r>
    </w:p>
    <w:tbl>
      <w:tblPr>
        <w:tblStyle w:val="6"/>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shd w:val="clear" w:color="auto" w:fill="F1F1F1" w:themeFill="background1" w:themeFillShade="F2"/>
          </w:tcPr>
          <w:p>
            <w:pPr>
              <w:pStyle w:val="12"/>
              <w:spacing w:after="0" w:line="560" w:lineRule="exact"/>
              <w:ind w:firstLine="0" w:firstLineChars="0"/>
              <w:rPr>
                <w:sz w:val="24"/>
                <w:szCs w:val="24"/>
              </w:rPr>
            </w:pPr>
            <w:r>
              <w:rPr>
                <w:sz w:val="24"/>
                <w:szCs w:val="24"/>
              </w:rPr>
              <w:t>&lt;xbrli:unit id="u1"&gt;</w:t>
            </w:r>
          </w:p>
          <w:p>
            <w:pPr>
              <w:pStyle w:val="12"/>
              <w:spacing w:after="0" w:line="560" w:lineRule="exact"/>
              <w:ind w:firstLine="480"/>
              <w:rPr>
                <w:sz w:val="24"/>
                <w:szCs w:val="24"/>
              </w:rPr>
            </w:pPr>
            <w:r>
              <w:rPr>
                <w:sz w:val="24"/>
                <w:szCs w:val="24"/>
              </w:rPr>
              <w:t>&lt;xbrli:measure&gt;iso4217:CNY&lt;/xbrli:measure&gt;</w:t>
            </w:r>
          </w:p>
          <w:p>
            <w:pPr>
              <w:pStyle w:val="12"/>
              <w:spacing w:after="0" w:line="560" w:lineRule="exact"/>
              <w:ind w:firstLine="0" w:firstLineChars="0"/>
              <w:rPr>
                <w:sz w:val="24"/>
                <w:szCs w:val="24"/>
              </w:rPr>
            </w:pPr>
            <w:r>
              <w:rPr>
                <w:sz w:val="24"/>
                <w:szCs w:val="24"/>
              </w:rPr>
              <w:t>&lt;/xbrli:unit&gt;</w:t>
            </w:r>
          </w:p>
        </w:tc>
      </w:tr>
    </w:tbl>
    <w:p>
      <w:pPr>
        <w:pStyle w:val="12"/>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12"/>
        <w:wordWrap/>
        <w:spacing w:after="0" w:line="560" w:lineRule="exact"/>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属性比采用precision属性能够更直观地展示数据的精度。表</w:t>
      </w:r>
      <w:r>
        <w:t>10</w:t>
      </w:r>
      <w:r>
        <w:rPr>
          <w:rFonts w:hint="eastAsia"/>
        </w:rPr>
        <w:t>列示了</w:t>
      </w:r>
      <w:r>
        <w:t>数值型数据使用decimals属性的例子</w:t>
      </w:r>
      <w:r>
        <w:rPr>
          <w:rFonts w:hint="eastAsia"/>
        </w:rPr>
        <w:t>。</w:t>
      </w:r>
    </w:p>
    <w:p>
      <w:pPr>
        <w:pStyle w:val="12"/>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5"/>
        <w:tblW w:w="9963"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1"/>
        <w:gridCol w:w="3320"/>
        <w:gridCol w:w="332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2"/>
        <w:numPr>
          <w:ilvl w:val="0"/>
          <w:numId w:val="4"/>
        </w:numPr>
        <w:wordWrap/>
        <w:spacing w:after="0" w:line="560" w:lineRule="exact"/>
        <w:ind w:firstLineChars="0"/>
        <w:rPr>
          <w:b/>
          <w:bCs/>
        </w:rPr>
      </w:pPr>
      <w:r>
        <w:rPr>
          <w:rFonts w:hint="eastAsia"/>
          <w:b/>
          <w:bCs/>
        </w:rPr>
        <w:t>实例文档命名规则</w:t>
      </w:r>
    </w:p>
    <w:p>
      <w:pPr>
        <w:pStyle w:val="12"/>
        <w:wordWrap/>
        <w:spacing w:after="0" w:line="560" w:lineRule="exact"/>
      </w:pPr>
      <w:r>
        <w:rPr>
          <w:rFonts w:hint="eastAsia"/>
        </w:rPr>
        <w:t>实例文档的命名格式为</w:t>
      </w:r>
      <w:r>
        <w:t>{</w:t>
      </w:r>
      <w:r>
        <w:rPr>
          <w:rFonts w:hint="eastAsia"/>
        </w:rPr>
        <w:t>票据类型简称</w:t>
      </w:r>
      <w:r>
        <w:t>}_{</w:t>
      </w:r>
      <w:r>
        <w:rPr>
          <w:rFonts w:hint="eastAsia"/>
        </w:rPr>
        <w:t>主体</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w:t>
      </w:r>
      <w:r>
        <w:t>bkrs</w:t>
      </w:r>
      <w:r>
        <w:rPr>
          <w:rFonts w:hint="eastAsia"/>
        </w:rPr>
        <w:t>，即标识票据类型是银行电子对账单；</w:t>
      </w:r>
      <w:r>
        <w:t>{</w:t>
      </w:r>
      <w:r>
        <w:rPr>
          <w:rFonts w:hint="eastAsia"/>
        </w:rPr>
        <w:t>主体</w:t>
      </w:r>
      <w:r>
        <w:t>}</w:t>
      </w:r>
      <w:r>
        <w:rPr>
          <w:rFonts w:hint="eastAsia"/>
        </w:rPr>
        <w:t>用于明确实例文档主体是银行电子对账单的开具方；</w:t>
      </w:r>
      <w:r>
        <w:t>{日期}</w:t>
      </w:r>
      <w:r>
        <w:rPr>
          <w:rFonts w:hint="eastAsia"/>
        </w:rPr>
        <w:t>是打印日期，</w:t>
      </w:r>
      <w:r>
        <w:t>格式为</w:t>
      </w:r>
      <w:r>
        <w:rPr>
          <w:rFonts w:hint="eastAsia"/>
        </w:rPr>
        <w:t>yyyymmdd；</w:t>
      </w:r>
      <w:r>
        <w:t>{</w:t>
      </w:r>
      <w:r>
        <w:rPr>
          <w:rFonts w:hint="eastAsia"/>
        </w:rPr>
        <w:t>票据唯一标识}是银行电子对账单的唯一标识码，由各银行自行定义；</w:t>
      </w:r>
      <w:r>
        <w:t>{文件后缀}是</w:t>
      </w:r>
      <w:r>
        <w:rPr>
          <w:rFonts w:hint="eastAsia"/>
        </w:rPr>
        <w:t>实例文档</w:t>
      </w:r>
      <w:r>
        <w:t>的后缀，即xml。实例文档命名格式举例</w:t>
      </w:r>
      <w:r>
        <w:rPr>
          <w:rFonts w:hint="eastAsia"/>
        </w:rPr>
        <w:t>如下：</w:t>
      </w:r>
    </w:p>
    <w:p>
      <w:pPr>
        <w:pStyle w:val="12"/>
        <w:wordWrap/>
        <w:spacing w:after="0" w:line="560" w:lineRule="exact"/>
      </w:pPr>
      <w:r>
        <w:rPr>
          <w:rFonts w:hint="eastAsia"/>
        </w:rPr>
        <w:t>bkrs</w:t>
      </w:r>
      <w:r>
        <w:t>_</w:t>
      </w:r>
      <w:r>
        <w:rPr>
          <w:rFonts w:hint="eastAsia"/>
        </w:rPr>
        <w:t>yyyymmdd</w:t>
      </w:r>
      <w:r>
        <w:t>_</w:t>
      </w:r>
      <w:r>
        <w:rPr>
          <w:rFonts w:hint="eastAsia"/>
        </w:rPr>
        <w:t>对账单唯一标识.</w:t>
      </w:r>
      <w:r>
        <w:t>xml</w:t>
      </w:r>
      <w:bookmarkStart w:id="1" w:name="_GoBack"/>
      <w:bookmarkEnd w:id="1"/>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银行电子对账单接收方</w:t>
      </w:r>
    </w:p>
    <w:p>
      <w:pPr>
        <w:pStyle w:val="11"/>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获取并解析电子凭证银行对账单</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企业、单位的业务人员可通过对账单开具银行提供的官方渠道获取电子凭证银行对账单OFD文件，使用XBRL工具包解析和提取内嵌的XBRL格式的结构化数据信息，并在信息化条件下完成与日记账的核对。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，主流财务软件厂商应均已具备解析和生成实例文档的能力。财务软件厂商可根据《银行电子对账单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》的要求，使用XBRL工具包解析对账单结构化数据。</w:t>
      </w:r>
    </w:p>
    <w:p>
      <w:pPr>
        <w:pStyle w:val="11"/>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电子凭证银行对账单归档要求</w:t>
      </w:r>
    </w:p>
    <w:p>
      <w:pPr>
        <w:spacing w:after="0" w:line="360" w:lineRule="auto"/>
        <w:ind w:firstLine="560" w:firstLineChars="200"/>
      </w:pPr>
      <w:r>
        <w:rPr>
          <w:rFonts w:hint="eastAsia" w:ascii="Times New Roman" w:hAnsi="Times New Roman" w:eastAsia="仿宋_GB2312"/>
          <w:sz w:val="28"/>
          <w:szCs w:val="28"/>
        </w:rPr>
        <w:t>企业、单位以电子凭证银行对账单归档的，应当按照《财政部国家档案局关于规范电子会计凭证报销入账归档的通知》（财会〔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6355FA8"/>
    <w:multiLevelType w:val="singleLevel"/>
    <w:tmpl w:val="36355FA8"/>
    <w:lvl w:ilvl="0" w:tentative="0">
      <w:start w:val="1"/>
      <w:numFmt w:val="chineseCounting"/>
      <w:suff w:val="nothing"/>
      <w:lvlText w:val="（%1）"/>
      <w:lvlJc w:val="left"/>
      <w:rPr>
        <w:rFonts w:hint="eastAsia"/>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15BAB"/>
    <w:rsid w:val="000172C9"/>
    <w:rsid w:val="000726B8"/>
    <w:rsid w:val="00074CD3"/>
    <w:rsid w:val="000F5BCE"/>
    <w:rsid w:val="001106AB"/>
    <w:rsid w:val="001379C5"/>
    <w:rsid w:val="001C78E8"/>
    <w:rsid w:val="00221E59"/>
    <w:rsid w:val="002220FA"/>
    <w:rsid w:val="002301E3"/>
    <w:rsid w:val="00231BE2"/>
    <w:rsid w:val="00250FE7"/>
    <w:rsid w:val="00286BCA"/>
    <w:rsid w:val="002B67C2"/>
    <w:rsid w:val="00355A9C"/>
    <w:rsid w:val="00376FDE"/>
    <w:rsid w:val="00377B33"/>
    <w:rsid w:val="004077E9"/>
    <w:rsid w:val="0045021F"/>
    <w:rsid w:val="004831D1"/>
    <w:rsid w:val="004A502B"/>
    <w:rsid w:val="004C278F"/>
    <w:rsid w:val="005B1474"/>
    <w:rsid w:val="00616C2D"/>
    <w:rsid w:val="00715902"/>
    <w:rsid w:val="00716B73"/>
    <w:rsid w:val="00792B26"/>
    <w:rsid w:val="007A6340"/>
    <w:rsid w:val="007F11C6"/>
    <w:rsid w:val="008127D2"/>
    <w:rsid w:val="00835498"/>
    <w:rsid w:val="008833B3"/>
    <w:rsid w:val="009321B6"/>
    <w:rsid w:val="009605E1"/>
    <w:rsid w:val="009801F9"/>
    <w:rsid w:val="00986393"/>
    <w:rsid w:val="009C5A7E"/>
    <w:rsid w:val="009C69FD"/>
    <w:rsid w:val="00A02A62"/>
    <w:rsid w:val="00A05AB6"/>
    <w:rsid w:val="00AA3E37"/>
    <w:rsid w:val="00AC7346"/>
    <w:rsid w:val="00AF5A1F"/>
    <w:rsid w:val="00B44DAB"/>
    <w:rsid w:val="00BE0704"/>
    <w:rsid w:val="00BE34C1"/>
    <w:rsid w:val="00CD4045"/>
    <w:rsid w:val="00D1060D"/>
    <w:rsid w:val="00D51261"/>
    <w:rsid w:val="00D63724"/>
    <w:rsid w:val="00D73E2F"/>
    <w:rsid w:val="00E35E94"/>
    <w:rsid w:val="00EE3FDB"/>
    <w:rsid w:val="00F53A10"/>
    <w:rsid w:val="00F54CA3"/>
    <w:rsid w:val="00F95A5A"/>
    <w:rsid w:val="00FC43F9"/>
    <w:rsid w:val="00FC4BC8"/>
    <w:rsid w:val="00FE4E04"/>
    <w:rsid w:val="00FF124B"/>
    <w:rsid w:val="33CFFA33"/>
    <w:rsid w:val="3CDF8E6D"/>
    <w:rsid w:val="3FBF613C"/>
    <w:rsid w:val="47F6FC4E"/>
    <w:rsid w:val="5DEE4419"/>
    <w:rsid w:val="77FF1386"/>
    <w:rsid w:val="7DCF891C"/>
    <w:rsid w:val="BDFE9D87"/>
    <w:rsid w:val="BEDEF758"/>
    <w:rsid w:val="C7ABBBA8"/>
    <w:rsid w:val="D7CF997B"/>
    <w:rsid w:val="E79EE22F"/>
    <w:rsid w:val="F7754950"/>
    <w:rsid w:val="FA7B8518"/>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style>
  <w:style w:type="paragraph" w:styleId="3">
    <w:name w:val="footer"/>
    <w:basedOn w:val="1"/>
    <w:link w:val="16"/>
    <w:qFormat/>
    <w:uiPriority w:val="0"/>
    <w:pPr>
      <w:tabs>
        <w:tab w:val="center" w:pos="4153"/>
        <w:tab w:val="right" w:pos="8306"/>
      </w:tabs>
      <w:snapToGrid w:val="0"/>
      <w:spacing w:line="240" w:lineRule="auto"/>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563C1" w:themeColor="hyperlink"/>
      <w:u w:val="single"/>
      <w14:textFill>
        <w14:solidFill>
          <w14:schemeClr w14:val="hlink"/>
        </w14:solidFill>
      </w14:textFill>
    </w:rPr>
  </w:style>
  <w:style w:type="paragraph" w:customStyle="1" w:styleId="9">
    <w:name w:val="一级标题"/>
    <w:basedOn w:val="10"/>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0">
    <w:name w:val="List Paragraph"/>
    <w:basedOn w:val="1"/>
    <w:qFormat/>
    <w:uiPriority w:val="34"/>
    <w:pPr>
      <w:ind w:firstLine="420" w:firstLineChars="200"/>
    </w:pPr>
  </w:style>
  <w:style w:type="paragraph" w:customStyle="1" w:styleId="11">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2">
    <w:name w:val="正文文档"/>
    <w:basedOn w:val="13"/>
    <w:qFormat/>
    <w:uiPriority w:val="0"/>
    <w:pPr>
      <w:wordWrap w:val="0"/>
      <w:spacing w:afterLines="0"/>
      <w:ind w:firstLine="560"/>
    </w:pPr>
  </w:style>
  <w:style w:type="paragraph" w:customStyle="1" w:styleId="13">
    <w:name w:val="ab"/>
    <w:basedOn w:val="14"/>
    <w:qFormat/>
    <w:uiPriority w:val="0"/>
    <w:pPr>
      <w:spacing w:line="360" w:lineRule="auto"/>
      <w:outlineLvl w:val="9"/>
    </w:pPr>
    <w:rPr>
      <w:rFonts w:ascii="Times New Roman" w:hAnsi="Times New Roman"/>
      <w:sz w:val="28"/>
    </w:rPr>
  </w:style>
  <w:style w:type="paragraph" w:customStyle="1" w:styleId="14">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5">
    <w:name w:val="页眉 字符"/>
    <w:basedOn w:val="7"/>
    <w:link w:val="4"/>
    <w:qFormat/>
    <w:uiPriority w:val="0"/>
    <w:rPr>
      <w:rFonts w:asciiTheme="minorHAnsi" w:hAnsiTheme="minorHAnsi" w:eastAsiaTheme="minorEastAsia" w:cstheme="minorBidi"/>
      <w:sz w:val="18"/>
      <w:szCs w:val="18"/>
    </w:rPr>
  </w:style>
  <w:style w:type="character" w:customStyle="1" w:styleId="16">
    <w:name w:val="页脚 字符"/>
    <w:basedOn w:val="7"/>
    <w:link w:val="3"/>
    <w:qFormat/>
    <w:uiPriority w:val="0"/>
    <w:rPr>
      <w:rFonts w:asciiTheme="minorHAnsi" w:hAnsiTheme="minorHAnsi" w:eastAsiaTheme="minorEastAsia" w:cstheme="minorBidi"/>
      <w:sz w:val="18"/>
      <w:szCs w:val="18"/>
    </w:rPr>
  </w:style>
  <w:style w:type="paragraph" w:customStyle="1" w:styleId="17">
    <w:name w:val="三级标题"/>
    <w:basedOn w:val="13"/>
    <w:qFormat/>
    <w:uiPriority w:val="0"/>
    <w:pPr>
      <w:wordWrap w:val="0"/>
      <w:spacing w:afterLines="0"/>
      <w:ind w:firstLine="562"/>
      <w:outlineLvl w:val="3"/>
    </w:pPr>
    <w:rPr>
      <w:b/>
    </w:rPr>
  </w:style>
  <w:style w:type="character" w:customStyle="1" w:styleId="18">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1584</Words>
  <Characters>9031</Characters>
  <Lines>75</Lines>
  <Paragraphs>21</Paragraphs>
  <TotalTime>1</TotalTime>
  <ScaleCrop>false</ScaleCrop>
  <LinksUpToDate>false</LinksUpToDate>
  <CharactersWithSpaces>10594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2023-02-17T07:05:00Z</dcterms:created>
  <dc:creator>Admin</dc:creator>
  <cp:lastModifiedBy>Admin</cp:lastModifiedBy>
  <dcterms:modified xsi:type="dcterms:W3CDTF">2023-05-12T19:59:33Z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