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360C980">
      <w:pPr>
        <w:widowControl/>
        <w:jc w:val="left"/>
        <w:rPr>
          <w:rFonts w:ascii="仿宋_GB2312" w:hAnsi="仿宋" w:eastAsia="仿宋_GB2312"/>
          <w:sz w:val="32"/>
        </w:rPr>
      </w:pPr>
      <w:r>
        <w:rPr>
          <w:rFonts w:hint="eastAsia" w:ascii="仿宋_GB2312" w:hAnsi="仿宋" w:eastAsia="仿宋_GB2312"/>
          <w:sz w:val="32"/>
        </w:rPr>
        <w:t>附件</w:t>
      </w:r>
      <w:bookmarkStart w:id="0" w:name="_GoBack"/>
      <w:bookmarkEnd w:id="0"/>
      <w:r>
        <w:rPr>
          <w:rFonts w:hint="eastAsia" w:ascii="仿宋_GB2312" w:hAnsi="仿宋" w:eastAsia="仿宋_GB2312"/>
          <w:sz w:val="32"/>
        </w:rPr>
        <w:t>：</w:t>
      </w:r>
    </w:p>
    <w:p w14:paraId="56A70945">
      <w:pPr>
        <w:ind w:right="-176" w:rightChars="-84"/>
        <w:jc w:val="center"/>
        <w:rPr>
          <w:rFonts w:hint="eastAsia" w:ascii="方正小标宋简体" w:hAnsi="方正小标宋简体" w:eastAsia="方正小标宋简体" w:cs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z w:val="44"/>
          <w:szCs w:val="44"/>
        </w:rPr>
        <w:t>会计师事务所财务报表及审核公式</w:t>
      </w:r>
    </w:p>
    <w:p w14:paraId="42CA094C">
      <w:pPr>
        <w:jc w:val="center"/>
      </w:pPr>
      <w:r>
        <w:drawing>
          <wp:inline distT="0" distB="0" distL="114300" distR="114300">
            <wp:extent cx="6364605" cy="5081905"/>
            <wp:effectExtent l="0" t="0" r="5715" b="8255"/>
            <wp:docPr id="7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9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6364605" cy="5081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tbl>
      <w:tblPr>
        <w:tblStyle w:val="1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6"/>
        <w:gridCol w:w="430"/>
        <w:gridCol w:w="645"/>
        <w:gridCol w:w="2480"/>
        <w:gridCol w:w="431"/>
      </w:tblGrid>
      <w:tr w14:paraId="016A116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3CC4FD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  <w:t>事务所基础信息表</w:t>
            </w:r>
          </w:p>
        </w:tc>
      </w:tr>
      <w:tr w14:paraId="64657D5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9D8E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202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  <w:lang w:val="en-US" w:eastAsia="zh-CN"/>
              </w:rPr>
              <w:t>5</w:t>
            </w:r>
            <w:r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  <w:t>年度</w:t>
            </w:r>
          </w:p>
        </w:tc>
      </w:tr>
      <w:tr w14:paraId="5E807A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4638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D9715D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BF8A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会所01表</w:t>
            </w:r>
          </w:p>
        </w:tc>
      </w:tr>
      <w:tr w14:paraId="250ED4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C98FC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B8D46B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47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544E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单位：个</w:t>
            </w:r>
          </w:p>
        </w:tc>
      </w:tr>
      <w:tr w14:paraId="4D20D4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F0AD76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单位负责人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0C787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81EE50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2FD7E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财务负责人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 w14:paraId="5D0FA9A2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49C447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8D3B6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填表人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 w14:paraId="70F75B3A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093DEF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3B564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电话号码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 w14:paraId="75A46213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6B3A2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7DE8B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单位地址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92DAA8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78408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8AE8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邮政编码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FE1EA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7ABFD1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DA445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传真号码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AB5D5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6C171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1FADD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单位执行会计制度</w:t>
            </w:r>
          </w:p>
        </w:tc>
        <w:tc>
          <w:tcPr>
            <w:tcW w:w="933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43503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（下拉菜单）</w:t>
            </w:r>
          </w:p>
        </w:tc>
        <w:tc>
          <w:tcPr>
            <w:tcW w:w="147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8DB951">
            <w:pPr>
              <w:jc w:val="center"/>
            </w:pPr>
          </w:p>
        </w:tc>
      </w:tr>
      <w:tr w14:paraId="143F0F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15CB8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单位纳税人类型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084A64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1D9941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B512A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新报因素  </w:t>
            </w:r>
          </w:p>
        </w:tc>
        <w:tc>
          <w:tcPr>
            <w:tcW w:w="2409" w:type="pct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250AD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65F24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D118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18"/>
                <w:szCs w:val="18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项目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2768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6B6B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上年情况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76DD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本年12月31日情况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E1A6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备注</w:t>
            </w:r>
          </w:p>
        </w:tc>
      </w:tr>
      <w:tr w14:paraId="7C7A1F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61319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栏次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1EB16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1825A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C80D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9A772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</w:tr>
      <w:tr w14:paraId="24F0F2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3B753F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一、从业人员总人数（含注册会计师和合伙人）*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829C7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7171A88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9DF8E08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46E8EF3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397B36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4F88C4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1.合伙人（或）出资人人数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D71E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20F6E7A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BFFFF"/>
            <w:noWrap/>
            <w:vAlign w:val="center"/>
          </w:tcPr>
          <w:p w14:paraId="7CBA8425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1EC62F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AFA4A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4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22DDD0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其中：属于注册会计师的合伙人人数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B5441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EB691D5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08F759C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（系统中注册模块上年度12月31日数据）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30BA9D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1E604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57128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不属于注册会计师的合伙人人数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ABD5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18B8F26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1BD3CC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0557A6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AB6F7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1DEE35E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2．注册会计师人数(不含合伙人或出资人人数)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D447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7A9C70D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C5F1CF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（系统中注册模块上年度12月31日数据）</w:t>
            </w: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837A49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66F91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4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495E93D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3．其他人员人数**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03A2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CBA4EC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3CBA79C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63F3F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C642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1D0BB5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其中：从事审计等鉴证业务人员人数***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9AFD9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5A4366B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F16CF35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D2A3BB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7C9EE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D223E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不从事审计等鉴证等业务人员人数（包括专职财会、行政、人力、培训等部门人员人数）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07BB6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016813A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6DA985D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1F6043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AE923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6" w:hRule="atLeast"/>
        </w:trPr>
        <w:tc>
          <w:tcPr>
            <w:tcW w:w="2590" w:type="pct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575BD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二、取得其他资格人数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B5F9F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2409DF8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E428C5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A39F3C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6BD354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F459DE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1．税务师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C84A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25C4780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 w14:paraId="731F0F18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690F68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0C9A3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C677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2．评估师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57401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CDEE75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A2F6E2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64858D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468EF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38EC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其中：资产评估师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7150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1349328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4B253D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EBA95FF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51AF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BC16A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房地产估价师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95B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51B4956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1D4F85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E97F73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70AB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1DC53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土地估价师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4012E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765B0CA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288B1C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7C13E5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628CD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CCE57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其他评估师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D0D8E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3F3FA8A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34FA38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D69546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92A9B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700BD3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3．造价工程师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DD8AC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6CEA0CF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9BDBDF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294C1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3B3C8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4F341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4．法律职业资格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8D3B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FB42F24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ADD8D4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B4D4E6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50ED9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CFA57C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5．其他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39B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9D2D493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CCFB5D9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73902B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28903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1B310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三、国际网络名称（如有）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65DD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DD55C26">
            <w:pPr>
              <w:jc w:val="center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4EAC8F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F714F7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AC8E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027A2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四、在港澳台及境外设立的分支机构（如有，单位：个）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EA21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53ECFCD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543904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2B53DF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D126C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089FE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五、客户数量（单位：个）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9C63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82F709C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58DF07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0EDEA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1875B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25231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1.财务报表审计户数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CB34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220E61A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CFFFF"/>
            <w:noWrap/>
            <w:vAlign w:val="center"/>
          </w:tcPr>
          <w:p w14:paraId="27609B4F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9C662D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C4080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FDF2EC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2.专项审计户数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AA7E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25E7BA5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D80680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28A1B1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D2DFC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F1063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3.内部控制审计户数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EF0D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1406883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33CC43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DA8C0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FA4C0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AB9D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4.验资户数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837AA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BB065A4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D0DF93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7740AE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31B83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4599F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5.资产评估户数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0481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354CF48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3FDC69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351701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633F9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BACDAE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6.涉税鉴证户数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E281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0E2D467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4A64C4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DDA037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8C2171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035AA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7.工程预决算审核户数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6366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6721C65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4FF971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23999E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A4EC3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8AA532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8.其他鉴证业务户数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C28B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85BB34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6279C0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E0467B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9C3FDA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B9E4C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9.会计服务户数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C2381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9D26C8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87EE4D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C107DC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2A70C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398231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10.税务服务户数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202E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7AD8B56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14BABC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F6ED59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86A3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A457DB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11.咨询服务户数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FA0D6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83A09B9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581EC56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DE9098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DDA41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412F8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12.其他业务户数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6B293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8EE74FF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EB0E524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0E47AB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400C87E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B48535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六、信息化建设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742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CEEE291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FB670A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0FB7E5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81D23E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92764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1.信息技术人员数量****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7D612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6BD5DAD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B25CE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630BF6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E20D5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4F93FA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1.1  事务所中具有信息系统审计师（CISA）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0FD8B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3C56AEA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FB20898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A4AB2E1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B85E1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272DCA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1.2  IT 审计师（ITA）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EDFB2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029D2DC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28BB9F10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F8FBEDA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7E0E7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EDED9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1.3  中国信息安全专业认证(CISP）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4FE5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7E02CC2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3C49DEE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02D455F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628D8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84C932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1.4  信息系统安全专业认证（CISSP）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9DDB8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C14D45F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7E587BC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6279485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2463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F2520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1.5  思科网络专家(CCIE）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99417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40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FD9D720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685D9B3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20FAE63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773FC0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278C31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1.6  软件工程造价师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BCA89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C0E6C07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D584B55">
            <w:pPr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B04D55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027B15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4CAE2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2.所内使用的审计作业软件名称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EE44B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42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507B84C">
            <w:pPr>
              <w:jc w:val="center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1F19F4F">
            <w:pPr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221174F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41E31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17101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3.所内使用的管理软件工具名称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38E62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F23D6B4">
            <w:pPr>
              <w:jc w:val="center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EAA2C05">
            <w:pPr>
              <w:jc w:val="center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219EE27">
            <w:pPr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3851067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5C50B49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4.使用审计软件的审计项目占比（使用审计软件的审计项目/全部审计项目）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C0964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53B95EB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D1A06DF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26723673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</w:tr>
      <w:tr w14:paraId="3828B4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2D9A30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七、国际化人才建设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D24E0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45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C34FED7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0212E5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4EC814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62CD08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12BFD86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1.主要从事国际业务的员工人数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B0E3C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C0AFB33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20CF47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6ABBF8CB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1292E4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586238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2.取得境外资质的注册会计师人数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B1E73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AF18151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A22F91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743F5F29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D79D6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8" w:hRule="atLeast"/>
        </w:trPr>
        <w:tc>
          <w:tcPr>
            <w:tcW w:w="2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1AE454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八、当年招收应届毕业生人数</w:t>
            </w:r>
          </w:p>
        </w:tc>
        <w:tc>
          <w:tcPr>
            <w:tcW w:w="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6D5D4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48</w:t>
            </w:r>
          </w:p>
        </w:tc>
        <w:tc>
          <w:tcPr>
            <w:tcW w:w="925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D5F75CB">
            <w:pPr>
              <w:jc w:val="right"/>
            </w:pPr>
          </w:p>
        </w:tc>
        <w:tc>
          <w:tcPr>
            <w:tcW w:w="1122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5F8F8C">
            <w:pPr>
              <w:jc w:val="right"/>
              <w:rPr>
                <w:rFonts w:ascii="宋体" w:hAnsi="宋体" w:cs="宋体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353" w:type="pct"/>
            <w:tcBorders>
              <w:top w:val="nil"/>
              <w:left w:val="nil"/>
              <w:bottom w:val="single" w:color="000000" w:sz="4" w:space="0"/>
              <w:right w:val="nil"/>
            </w:tcBorders>
            <w:shd w:val="clear" w:color="000000" w:fill="FFFFFF"/>
            <w:noWrap/>
            <w:vAlign w:val="center"/>
          </w:tcPr>
          <w:p w14:paraId="6C9C9712">
            <w:pPr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7D41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atLeast"/>
        </w:trPr>
        <w:tc>
          <w:tcPr>
            <w:tcW w:w="5000" w:type="pct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277A60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*指在会计师事务所为注册会计师行业提供服务的所有人员（包括注册会计师、合伙人和其他工作人员）的总数。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**指截至12月31日的其他人员数量总数，由从事审计等鉴证业务人员和不从事审计等鉴证等业务人员构成。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***指截至12月31日在事务所从事鉴证业务的员工数，不含注册会计师和合伙人。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****指事务所专职从事信息技术系统的设计、开发、运维、管理和评估的人员，以及在发展信息化方面的人才储备，包括信息系统审计师（CISA）、信息系统安全专业人员（CISSP）等人员总数。</w:t>
            </w:r>
          </w:p>
        </w:tc>
      </w:tr>
    </w:tbl>
    <w:p w14:paraId="2568D577"/>
    <w:p w14:paraId="61209824">
      <w:pPr>
        <w:sectPr>
          <w:footerReference r:id="rId3" w:type="default"/>
          <w:pgSz w:w="11906" w:h="16838"/>
          <w:pgMar w:top="1800" w:right="1440" w:bottom="1800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W w:w="0" w:type="auto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69"/>
        <w:gridCol w:w="526"/>
        <w:gridCol w:w="837"/>
        <w:gridCol w:w="837"/>
        <w:gridCol w:w="2698"/>
        <w:gridCol w:w="527"/>
        <w:gridCol w:w="837"/>
        <w:gridCol w:w="911"/>
      </w:tblGrid>
      <w:tr w14:paraId="609F29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E6D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资产负债表</w:t>
            </w:r>
          </w:p>
        </w:tc>
      </w:tr>
      <w:tr w14:paraId="2B27C9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gridSpan w:val="8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3083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 w14:paraId="3BEF74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8FE7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110E8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A496A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会所02表</w:t>
            </w:r>
          </w:p>
        </w:tc>
      </w:tr>
      <w:tr w14:paraId="1E54CF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A3FF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0" w:type="auto"/>
            <w:gridSpan w:val="6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1E70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A54120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 w14:paraId="64B96A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512FD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     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E00CD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69B2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年初余额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FF72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期末余额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73BB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负债和所有者权益（或股东权益）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FD709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9A37A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年初余额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5E6B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期末余额</w:t>
            </w:r>
          </w:p>
        </w:tc>
      </w:tr>
      <w:tr w14:paraId="5222BC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A7ADB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BE828DC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BEE74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6E7FC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A091A59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D116CEA">
            <w:pPr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7937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EB383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</w:tr>
      <w:tr w14:paraId="2FE786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67BB8A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流动资产：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A6F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9725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858F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DE588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流动负债：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317F1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E155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BEF22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</w:tr>
      <w:tr w14:paraId="51C5DD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5758F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货币资金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52E4B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94525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A27C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FC17D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短期借款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AA9D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29B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F402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06CF4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B0AE1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以公允价值计量且其变动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计入当期损益的金融资产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B47C7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9A7F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F18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8F20B8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以公允价值计量且其变动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计入当期损益的金融负债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4730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310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8AA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2A6D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ADCCFD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衍生金融资产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2A340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061F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36F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803973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衍生金融负债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28B67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A1B8C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7212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B381E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391E57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应收票据及应收账款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4009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F1BE0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4079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43F77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应付票据及应付账款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8F652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4C3D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F256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2746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44AE04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预付款项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62CA0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5969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122F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EFE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预收款项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C4F7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5BE1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D171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180E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382D45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其他应收款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FD60E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2F70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7DB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ECEB31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应付职工薪酬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E9174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34740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EE9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DA8F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C09BA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存货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F4B9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D1C374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5521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4F511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应交税费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87B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2C9E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4FB9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64A2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F460B7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持有待售资产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37211E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B026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B964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AD722D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其他应付款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0B199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4073C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176AE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86AAF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9B57B6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一年内到期的非流动资产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5E8B3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E5B3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DC2A4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ADE7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持有待售负债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D3AA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108E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8582C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E8478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AB55A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其他流动资产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4267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24A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8F57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835C7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一年内到期的非流动负债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499E1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4D0DF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F358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E295B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7B085E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流动资产合计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89508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5062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EE4E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466579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其他流动负债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74E8A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EBCF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7BF8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3E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B6CB4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非流动资产：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89AF9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96201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A883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9EB1B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流动负债合计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8EA3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5F50C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4D6CD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3735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82CC7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可供出售金融资产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F753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028C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E1BE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5B19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非流动负债：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B6A5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F5722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2915A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47DE2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BED54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持有至到期投资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9F5A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F58FA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92BA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905AA5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长期借款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73CE2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E462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8314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55AE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A2FD7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长期应收款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5B9AA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0FEF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37C2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A494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应付债券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B5D33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5230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FB58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0F664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ED46E2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长期股权投资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90948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27B05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C81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31B69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其中：优先股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E6323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412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2DA80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FBD6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494C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投资性房地产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DCD9C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54AFC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F2B3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E80CD7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永续债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5048D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1038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3DC0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2E32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FBC0E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固定资产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1C0FA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F78C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E65B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FA11D9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长期应付款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160E9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417CC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35065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E103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7EA4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在建工程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8FE95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6F3C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25087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F3E63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预计负债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E0CD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D2453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EF9B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F848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87AF1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生产性生物资产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105A7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86F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C1BBA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C84E0F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递延收益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ED01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A321E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8B37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A95F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EED6C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油气资产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7FA9B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B10A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FE13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2C10B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递延所得税负债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5381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ECEC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0C91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062D49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D372E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无形资产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9CB69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7CDC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1DF1A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BD9D0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其他非流动负债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6236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D024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B197B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221A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3E20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开发支出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26189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25D8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6F2DE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34D80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非流动负债合计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4713B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A985A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78D1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926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121A2B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商誉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FDB49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B89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D9B4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840F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负债合计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B7958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3E61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BA886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44DA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3EC31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长期待摊费用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9409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EB75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DFB7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E9070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所有者权益（或股东权益)：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EE8B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305C7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8A03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</w:tr>
      <w:tr w14:paraId="40A054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B2710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递延所得税资产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7D53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D9AF2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84F7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F511C2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实收资本（或股本）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A17A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E6A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D641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4D4B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77C80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其他非流动资产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0FED7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F366D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997E9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DF83E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其他权益工具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95775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23EF2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7F0F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B395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AF2EB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非流动资产合计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02FF0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9CE7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62BE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373886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其中：优先股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374F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98A5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5E8D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7D0EA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D9634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6826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7035D7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DEAEAE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BC261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永续债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40CD5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6462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78F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59941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CA5B9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768A0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3B1F08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FBC4EF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C180C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资本公积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B0285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4B59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85B2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381C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83F29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2AA8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6B839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A3E0A1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EBE518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减：库存股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AB984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2752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B87B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B18A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376FF5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8E0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57BC2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465A1E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DEEF0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其他综合收益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5C52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6974A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2224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043D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15BDD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78B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FD0420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1795C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51A9F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盈余公积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0045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49977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3ED7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69F5EE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A04D96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7BBE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599F91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91ADF6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B420C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未分配利润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2AA44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AD30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A9D3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9530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0CF7E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F6FB7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D464EC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01860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50296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所有者权益(或股东权益）合计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DF6C5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164C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6D7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8B5D6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B45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资产总计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5136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E327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839DB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91C89A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负债和所有者权益(或股东权益)总计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2D416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78C02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3FC2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770138D3">
      <w:pPr>
        <w:sectPr>
          <w:pgSz w:w="11906" w:h="16838"/>
          <w:pgMar w:top="1800" w:right="1440" w:bottom="1800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W w:w="13178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548"/>
        <w:gridCol w:w="652"/>
        <w:gridCol w:w="3353"/>
        <w:gridCol w:w="3625"/>
      </w:tblGrid>
      <w:tr w14:paraId="62E856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0" w:hRule="atLeast"/>
        </w:trPr>
        <w:tc>
          <w:tcPr>
            <w:tcW w:w="131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vAlign w:val="center"/>
          </w:tcPr>
          <w:p w14:paraId="1EFAD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6"/>
                <w:szCs w:val="26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6"/>
                <w:szCs w:val="26"/>
                <w:u w:val="none"/>
                <w:lang w:val="en-US" w:eastAsia="zh-CN" w:bidi="ar"/>
              </w:rPr>
              <w:t>利润表</w:t>
            </w:r>
          </w:p>
        </w:tc>
      </w:tr>
      <w:tr w14:paraId="5A6C19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31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78015D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 w14:paraId="198F5F9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18112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97D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773EDB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</w:t>
            </w:r>
          </w:p>
        </w:tc>
      </w:tr>
      <w:tr w14:paraId="37F5A92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81008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4005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33C09F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B3FD6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 w14:paraId="6D7F748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FD2B6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9A585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39AB9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上期金额</w:t>
            </w: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68A50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本期金额</w:t>
            </w:r>
          </w:p>
        </w:tc>
      </w:tr>
      <w:tr w14:paraId="3209F39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C99A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FB7A0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7C88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F5DF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48160D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48DA32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一、营业收入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C7ED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B975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B8992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25AE8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5B37B6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减：业务成本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626D2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A3103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5EA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7D4A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DDCC12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税金及附加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9AF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224D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D2BF7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EE0A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17AB6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销售费用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36F6F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C58A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6C93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F535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80C598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管理费用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07D3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A440C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9A30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A660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E5B3FA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研发费用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7A8BF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F7AE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0276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CCE7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87F77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财务费用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193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B89C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CB096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FADD6E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00587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其中：利息费用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B36DE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0C60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096B6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2A5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00F199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      利息收入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1492B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1A94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46EB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F78E1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D2DB4C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资产减值损失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68E7B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A05369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DFD2D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3057F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6B7EC4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加：其他收益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B500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683F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F5B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90D3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5D286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投资收益（损失以“-”号填列）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A907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042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8715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0B45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BA9D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  其中：对联营企业和合营企业的投资收益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61F78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E7E3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BF3D0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A1A4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31C96C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公允价值变动收益（损失以“-”号填列）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AFE31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82B93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575B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23C3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77250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资产处置收益（损失以“-”号填列）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BC498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A1FA3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496B5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35393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E622A9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二、营业利润（亏损以"－"号填列）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14E6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8B33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FCD84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0BB10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89976F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加：营业外收入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637E1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67C4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29CF9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F4470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FF811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减：营业外支出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8505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53D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FCE6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6C00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95ED7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其中：公益性捐赠支出*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0D2F7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8AC5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F8E5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C28AB8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B0D5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三、利润总额（亏损以"-"号填列）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677FE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2D6FB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A590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41E6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95EF6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减：所得税费用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777C9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C7F3C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524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368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1D58B1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四、净利润（亏损以"-"号填列）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E7FEB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99C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6F3B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E83E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AF4956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(一）持续经营净利润（净亏损以“-”号填列）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5639E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C0EF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DB20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9398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7BF34A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(二）终止经营净利润（净亏损以“-”号填列）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CE534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62F1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EC70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ED4CF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6B3F80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五、其他综合收益的税后净额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7EC3A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88B84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78B71F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1E23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8679EB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(一）不能重分类进损益的其他综合收益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150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3634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54BE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8A60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594D2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1.重新计量设定受益计划变动额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B427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C11A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4BB28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ABD52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1B6BCE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2.权益法下不能转损益的其他综合收益   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6CF896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39C5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08CC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5BDE9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D7DC4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(二）将重分类进损益的其他综合收益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97AB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5567E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577D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E487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052825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1.权益法下可转损益的其他综合收益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D9B53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20BC0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A7B90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FB9E6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E98A4D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2.可供出售金融资产公允价值变动损益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D245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7CC6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1B2A2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F2B9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060504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3.持有至到期投资重分类为可供出售金融资产损益 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E02ED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FBCC6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51C9D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421C9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5F8D45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4.现金流量套期损益的有效部分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963A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BD671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BD3B1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D0FDC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21C22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5.外币财务报表折算差额    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8BEC2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92FCD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B2B6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44FD92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58F6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六、综合收益总额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E22BF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A6BB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BD34B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6EB76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F099EA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七、每股收益：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E355C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E770F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4733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67D8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93053E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(一）基本每股收益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1AC0B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289B5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14F0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6AC40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5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304211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(二）稀释每股收益</w:t>
            </w:r>
          </w:p>
        </w:tc>
        <w:tc>
          <w:tcPr>
            <w:tcW w:w="6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D99DD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326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06C6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8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68B3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620A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</w:trPr>
        <w:tc>
          <w:tcPr>
            <w:tcW w:w="13178" w:type="dxa"/>
            <w:gridSpan w:val="4"/>
            <w:tcBorders>
              <w:top w:val="nil"/>
              <w:left w:val="nil"/>
              <w:bottom w:val="single" w:color="D9D9D9" w:sz="4" w:space="0"/>
              <w:right w:val="single" w:color="D9D9D9" w:sz="4" w:space="0"/>
            </w:tcBorders>
            <w:shd w:val="clear" w:color="auto" w:fill="FFFFFF"/>
            <w:vAlign w:val="center"/>
          </w:tcPr>
          <w:p w14:paraId="591B9E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ED4014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备注：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br w:type="textWrapping"/>
            </w:r>
            <w:r>
              <w:rPr>
                <w:rFonts w:hint="eastAsia" w:ascii="宋体" w:hAnsi="宋体" w:eastAsia="宋体" w:cs="宋体"/>
                <w:i w:val="0"/>
                <w:iCs w:val="0"/>
                <w:color w:val="ED4014"/>
                <w:kern w:val="0"/>
                <w:sz w:val="18"/>
                <w:szCs w:val="18"/>
                <w:u w:val="none"/>
                <w:lang w:val="en-US" w:eastAsia="zh-CN" w:bidi="ar"/>
              </w:rPr>
              <w:t>*指事务所用于符合法律规定的公益慈善事业捐赠支出总额，如抗疫救灾、抢险救灾、扶贫助困等。</w:t>
            </w:r>
          </w:p>
        </w:tc>
      </w:tr>
    </w:tbl>
    <w:p w14:paraId="12C5C395">
      <w:r>
        <w:br w:type="page"/>
      </w:r>
    </w:p>
    <w:tbl>
      <w:tblPr>
        <w:tblStyle w:val="18"/>
        <w:tblW w:w="5279" w:type="pct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567"/>
        <w:gridCol w:w="863"/>
        <w:gridCol w:w="1241"/>
        <w:gridCol w:w="1241"/>
        <w:gridCol w:w="864"/>
        <w:gridCol w:w="1241"/>
        <w:gridCol w:w="1241"/>
        <w:gridCol w:w="864"/>
        <w:gridCol w:w="2844"/>
      </w:tblGrid>
      <w:tr w14:paraId="67AC55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4989" w:type="pct"/>
            <w:gridSpan w:val="9"/>
            <w:shd w:val="clear" w:color="000000" w:fill="FFFFFF"/>
            <w:noWrap/>
            <w:vAlign w:val="center"/>
          </w:tcPr>
          <w:p w14:paraId="6EDA6ACD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业务收入表</w:t>
            </w:r>
          </w:p>
        </w:tc>
      </w:tr>
      <w:tr w14:paraId="5800C6C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4989" w:type="pct"/>
            <w:gridSpan w:val="9"/>
            <w:shd w:val="clear" w:color="000000" w:fill="FFFFFF"/>
            <w:noWrap/>
            <w:vAlign w:val="center"/>
          </w:tcPr>
          <w:p w14:paraId="3A574E07">
            <w:pPr>
              <w:widowControl/>
              <w:spacing w:line="30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ascii="宋体" w:hAnsi="宋体" w:cs="Arial"/>
                <w:bCs/>
                <w:color w:val="000000"/>
                <w:kern w:val="0"/>
                <w:szCs w:val="21"/>
              </w:rPr>
              <w:t>202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val="en-US" w:eastAsia="zh-CN"/>
              </w:rPr>
              <w:t>5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 w14:paraId="7E61A0B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shd w:val="clear" w:color="000000" w:fill="FFFFFF"/>
            <w:noWrap/>
            <w:vAlign w:val="center"/>
          </w:tcPr>
          <w:p w14:paraId="1BEEE8CF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2517" w:type="pct"/>
            <w:gridSpan w:val="7"/>
            <w:shd w:val="clear" w:color="000000" w:fill="FFFFFF"/>
            <w:noWrap/>
            <w:vAlign w:val="center"/>
          </w:tcPr>
          <w:p w14:paraId="52C07D65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shd w:val="clear" w:color="000000" w:fill="FFFFFF"/>
            <w:noWrap/>
            <w:vAlign w:val="center"/>
          </w:tcPr>
          <w:p w14:paraId="3B26D5F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会所03表附表1</w:t>
            </w:r>
          </w:p>
        </w:tc>
      </w:tr>
      <w:tr w14:paraId="65ABC09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0060F79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2517" w:type="pct"/>
            <w:gridSpan w:val="7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04FE627C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A0ADD3F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 w14:paraId="571AECB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BB37DD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287" w:type="pct"/>
            <w:vMerge w:val="restart"/>
            <w:tcBorders>
              <w:top w:val="single" w:color="auto" w:sz="4" w:space="0"/>
              <w:left w:val="single" w:color="000000" w:sz="4" w:space="0"/>
              <w:bottom w:val="nil"/>
              <w:right w:val="nil"/>
            </w:tcBorders>
            <w:shd w:val="clear" w:color="000000" w:fill="C0C0C0"/>
            <w:noWrap/>
            <w:vAlign w:val="center"/>
          </w:tcPr>
          <w:p w14:paraId="270BF176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1115" w:type="pct"/>
            <w:gridSpan w:val="3"/>
            <w:tcBorders>
              <w:top w:val="single" w:color="auto" w:sz="4" w:space="0"/>
              <w:left w:val="single" w:color="auto" w:sz="4" w:space="0"/>
              <w:bottom w:val="nil"/>
              <w:right w:val="single" w:color="000000" w:sz="4" w:space="0"/>
            </w:tcBorders>
            <w:shd w:val="clear" w:color="000000" w:fill="BFBFBF"/>
            <w:noWrap/>
            <w:vAlign w:val="center"/>
          </w:tcPr>
          <w:p w14:paraId="5DA068F5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证券期货相关业务*</w:t>
            </w:r>
          </w:p>
        </w:tc>
        <w:tc>
          <w:tcPr>
            <w:tcW w:w="1115" w:type="pct"/>
            <w:gridSpan w:val="3"/>
            <w:tcBorders>
              <w:top w:val="single" w:color="auto" w:sz="4" w:space="0"/>
              <w:left w:val="nil"/>
              <w:bottom w:val="nil"/>
              <w:right w:val="single" w:color="000000" w:sz="4" w:space="0"/>
            </w:tcBorders>
            <w:shd w:val="clear" w:color="000000" w:fill="BFBFBF"/>
            <w:noWrap/>
            <w:vAlign w:val="center"/>
          </w:tcPr>
          <w:p w14:paraId="20370132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非证券期货相关业务</w:t>
            </w:r>
          </w:p>
        </w:tc>
        <w:tc>
          <w:tcPr>
            <w:tcW w:w="948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238808C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 w14:paraId="518FE9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511E979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287" w:type="pct"/>
            <w:vMerge w:val="continue"/>
            <w:tcBorders>
              <w:top w:val="single" w:color="000000" w:sz="4" w:space="0"/>
              <w:left w:val="single" w:color="000000" w:sz="4" w:space="0"/>
              <w:bottom w:val="nil"/>
              <w:right w:val="nil"/>
            </w:tcBorders>
            <w:vAlign w:val="center"/>
          </w:tcPr>
          <w:p w14:paraId="2028F883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6D590025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BD6B81C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2B7F517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1D0AA92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AA09060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FBE9172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合计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600841A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F252A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nil"/>
            </w:tcBorders>
            <w:shd w:val="clear" w:color="000000" w:fill="C0C0C0"/>
            <w:noWrap/>
            <w:vAlign w:val="center"/>
          </w:tcPr>
          <w:p w14:paraId="21F1804C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2EB5273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82080A8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4DBF8508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1BA7753C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57E268A9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7AD3B92E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000000" w:fill="BFBFBF"/>
            <w:noWrap/>
            <w:vAlign w:val="center"/>
          </w:tcPr>
          <w:p w14:paraId="01E06847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457E992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CBCA2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BE8A16F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一、主营业务收入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43846052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63C9AA7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389D9DE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7C4959AB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218A16C9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5D54261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6CF5BE7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98D34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9847D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2B51A7D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（一）财务报表审计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2C0089E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7EB16787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635B95BB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6A023D1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2ADCDFB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1AE955A7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05E572E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282A72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4FA962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2FAD6E8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1.年报审计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6ACE4C5B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5F319F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F1436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58AA78DB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598A3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2EEC180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5594A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BAACA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3F7A33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E8E29AB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2.中报审计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1552ECA1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0FC1D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9499B0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5A270E9B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4CD60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06B7E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479CF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FCA16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CF6D7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D3305AB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（二）专项审计*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1B17637A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6E8351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EA60E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0E939AD9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DE9D92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1247E2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E4C7A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5B617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7A7A5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67B5646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（三）内部控制审计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7D97A121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1D0C5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E6C02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4EE2B79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EC9138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669E1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A59D03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4475E0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7FBA7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A990AD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（四）验资收入</w:t>
            </w:r>
          </w:p>
        </w:tc>
        <w:tc>
          <w:tcPr>
            <w:tcW w:w="287" w:type="pc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79EE261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DE50E1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816DF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31C8233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2053E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D7D3D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03D680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92664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92DBD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67FDB05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（五）资产评估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BE1E4A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A15B6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FD0F80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4CE3BC58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9BBC60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DFD309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3D7043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04DB8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228ADA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C19ACAB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（六）涉税鉴证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C996097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D90CF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27B91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0A2AC8E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D775B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D01C1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54206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62EA69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DD599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6D1A06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（七）工程预决算审核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AAB69E6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43F5D3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C4190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398FC167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CB966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105C62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020B21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7EBF2B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E58C0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C752826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（八）其他鉴证业务**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6EFF1C6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63F28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72480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5EAF89C1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D83998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053E2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BBA2E9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F229559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2A7AC1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9817CB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（九）会计服务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DAD79F7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37A41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65FCF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719E9731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66D41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09E4C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57D63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FD711A7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380249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A76685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（十）税务服务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912943F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BCA2C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87CB01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43B72F32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D0A21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044EC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49E74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31EDDB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A6E9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545A14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（十一）咨询服务***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AC657F1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E6B46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82DB77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261C03FD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073C60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84EE88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F7C041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07984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9F06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34B986B9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（十二）其他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53E1BCA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6229AF3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1B4FBB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2D050"/>
            <w:noWrap/>
            <w:vAlign w:val="center"/>
          </w:tcPr>
          <w:p w14:paraId="7A9227A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59F4504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6B388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BCC54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B5C5012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2B33BDF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4EAE24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二、其他业务收入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F6F17BA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5A3F07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F5CBB0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678F94A8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74D46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3B3AF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A9237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704086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5E9EF7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523" w:type="pc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FEA6F0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业务收入合计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D4219E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3FAD4B65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4D43C777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31DE74CF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50A4F2F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13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604A739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2D050"/>
            <w:noWrap/>
            <w:vAlign w:val="center"/>
          </w:tcPr>
          <w:p w14:paraId="2E089EDC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94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082CBA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28571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4989" w:type="pct"/>
            <w:gridSpan w:val="9"/>
            <w:tcBorders>
              <w:top w:val="single" w:color="000000" w:sz="4" w:space="0"/>
              <w:left w:val="nil"/>
              <w:bottom w:val="nil"/>
              <w:right w:val="nil"/>
            </w:tcBorders>
            <w:shd w:val="clear" w:color="auto" w:fill="auto"/>
          </w:tcPr>
          <w:p w14:paraId="3D37D518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备注：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指与财务报表紧密相关的一些专项审计业务，如</w:t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IPO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审计、净资产专项审计等；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指（一）至（七）项业务以外的带有鉴证或证明性质的业务，如高新技术企业认定审计、司法鉴定、捐赠审计、移民审计、结项审计等；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ascii="Arial" w:hAnsi="Arial" w:cs="Arial"/>
                <w:kern w:val="0"/>
                <w:sz w:val="20"/>
                <w:szCs w:val="20"/>
              </w:rPr>
              <w:t>***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t>税务咨询服务在“税务服务”项目中列示；</w:t>
            </w:r>
            <w:r>
              <w:rPr>
                <w:rFonts w:hint="eastAsia" w:ascii="宋体" w:hAnsi="宋体" w:cs="Arial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Arial" w:hAnsi="Arial" w:cs="Arial"/>
                <w:kern w:val="0"/>
                <w:sz w:val="20"/>
                <w:szCs w:val="20"/>
              </w:rPr>
              <w:t>****行次15和16如有，需在备注列填写具体收入。</w:t>
            </w:r>
          </w:p>
          <w:p w14:paraId="262481F2">
            <w:pPr>
              <w:widowControl/>
              <w:jc w:val="left"/>
              <w:rPr>
                <w:rFonts w:ascii="Arial" w:hAnsi="Arial" w:cs="Arial"/>
                <w:kern w:val="0"/>
                <w:sz w:val="20"/>
                <w:szCs w:val="20"/>
              </w:rPr>
            </w:pPr>
          </w:p>
        </w:tc>
      </w:tr>
    </w:tbl>
    <w:p w14:paraId="223AA1C8">
      <w:pPr>
        <w:pStyle w:val="50"/>
        <w:ind w:firstLine="640"/>
      </w:pPr>
    </w:p>
    <w:p w14:paraId="1603680C">
      <w:pPr>
        <w:widowControl/>
        <w:jc w:val="left"/>
        <w:rPr>
          <w:rFonts w:asciiTheme="minorHAnsi" w:hAnsiTheme="minorHAnsi" w:eastAsiaTheme="minorEastAsia" w:cstheme="minorBidi"/>
          <w:kern w:val="0"/>
          <w:sz w:val="20"/>
          <w:szCs w:val="20"/>
        </w:rPr>
      </w:pPr>
      <w:r>
        <w:br w:type="page"/>
      </w:r>
      <w:r>
        <w:fldChar w:fldCharType="begin"/>
      </w:r>
      <w:r>
        <w:instrText xml:space="preserve"> LINK Excel.Sheet.12</w:instrText>
      </w:r>
      <w:r>
        <w:rPr>
          <w:rFonts w:hint="eastAsia"/>
        </w:rPr>
        <w:instrText xml:space="preserve"> C:\\Users\\admin\\Desktop\\财务报告报备\\2022年度财务报告报备\\【20230302系统导出】事务所报表.xlsx 业务收入表附表!R1C1:R33C10 </w:instrText>
      </w:r>
      <w:r>
        <w:instrText xml:space="preserve">\a \f 5 \h </w:instrText>
      </w:r>
      <w:r>
        <w:fldChar w:fldCharType="separate"/>
      </w:r>
    </w:p>
    <w:p w14:paraId="765640D8">
      <w:pPr>
        <w:widowControl/>
        <w:jc w:val="left"/>
        <w:rPr>
          <w:rFonts w:ascii="仿宋_GB2312" w:hAnsi="仿宋" w:eastAsia="仿宋_GB2312"/>
          <w:szCs w:val="21"/>
        </w:rPr>
      </w:pPr>
      <w:r>
        <w:fldChar w:fldCharType="end"/>
      </w:r>
    </w:p>
    <w:tbl>
      <w:tblPr>
        <w:tblStyle w:val="18"/>
        <w:tblW w:w="14021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50"/>
        <w:gridCol w:w="1055"/>
        <w:gridCol w:w="2424"/>
        <w:gridCol w:w="2460"/>
        <w:gridCol w:w="2832"/>
      </w:tblGrid>
      <w:tr w14:paraId="0FB9775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6" w:hRule="exact"/>
        </w:trPr>
        <w:tc>
          <w:tcPr>
            <w:tcW w:w="1402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E45785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1"/>
              </w:rPr>
              <w:t>业务收入表-附表</w:t>
            </w:r>
          </w:p>
        </w:tc>
      </w:tr>
      <w:tr w14:paraId="2E8CB28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5" w:hRule="exact"/>
        </w:trPr>
        <w:tc>
          <w:tcPr>
            <w:tcW w:w="1402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E924F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2025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年度</w:t>
            </w:r>
          </w:p>
        </w:tc>
      </w:tr>
      <w:tr w14:paraId="07EC58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712DF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59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9AA3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EF6761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会所03表附表1-附</w:t>
            </w:r>
          </w:p>
        </w:tc>
      </w:tr>
      <w:tr w14:paraId="2A794A5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EF15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5939" w:type="dxa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F155E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CB624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单位：元</w:t>
            </w:r>
          </w:p>
        </w:tc>
      </w:tr>
      <w:tr w14:paraId="303D7A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14021" w:type="dxa"/>
            <w:gridSpan w:val="5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4AB11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补充材料：</w:t>
            </w:r>
          </w:p>
        </w:tc>
      </w:tr>
      <w:tr w14:paraId="40775B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5FAAD3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0990A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A90EB1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97C694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本年数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48B317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备注</w:t>
            </w:r>
          </w:p>
        </w:tc>
      </w:tr>
      <w:tr w14:paraId="591966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6ED61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一、12月份增值税纳税申报表中的年度收入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1E3E05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25085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AD0B9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3E693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324589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BA6763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减：理财收益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34FDB0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14669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F5AF49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B73E5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72C87DB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2ACA9C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代扣代缴手续费收入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9F7410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347AA2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FC561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0256D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69FD5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F88C3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固定资产处置收入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8724B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486E8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8A9BD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334A1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063E345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8D4645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二、经其他事务所审计的财务报告业务收入 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24EEA6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29FDA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65774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56065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280F833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1F271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三、统一经营的其他专业机构业务收入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5BDF7B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CA224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87482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D82CF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6F7659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003931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四、国际业务收入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1D60C1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21D92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2E453D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E9B26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6D18203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5AFD2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1.境外分支机构收入*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4DE280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27612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58068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4207B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351FD3D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249487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2.为内地企业提供境外上市、融资或其他审计服务取得的收入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4D798F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41FC6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3F799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D72F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38DBFEB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89FE00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3.来源于境外客户的其他收入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076C1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408E9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86213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C1C30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23DF1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9356BE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五、审计业务收入行业细分统计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94A303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tbl>
            <w:tblPr>
              <w:tblStyle w:val="18"/>
              <w:tblW w:w="3241" w:type="dxa"/>
              <w:tblInd w:w="96" w:type="dxa"/>
              <w:tblBorders>
                <w:top w:val="none" w:color="auto" w:sz="0" w:space="0"/>
                <w:left w:val="none" w:color="auto" w:sz="0" w:space="0"/>
                <w:bottom w:val="none" w:color="auto" w:sz="0" w:space="0"/>
                <w:right w:val="none" w:color="auto" w:sz="0" w:space="0"/>
                <w:insideH w:val="none" w:color="auto" w:sz="0" w:space="0"/>
                <w:insideV w:val="none" w:color="auto" w:sz="0" w:space="0"/>
              </w:tblBorders>
              <w:shd w:val="clear" w:color="auto" w:fill="auto"/>
              <w:tblLayout w:type="fixed"/>
              <w:tblCellMar>
                <w:top w:w="0" w:type="dxa"/>
                <w:left w:w="108" w:type="dxa"/>
                <w:bottom w:w="0" w:type="dxa"/>
                <w:right w:w="108" w:type="dxa"/>
              </w:tblCellMar>
            </w:tblPr>
            <w:tblGrid>
              <w:gridCol w:w="3241"/>
            </w:tblGrid>
            <w:tr w14:paraId="55761AE0">
              <w:tblPrEx>
                <w:tblBorders>
                  <w:top w:val="none" w:color="auto" w:sz="0" w:space="0"/>
                  <w:left w:val="none" w:color="auto" w:sz="0" w:space="0"/>
                  <w:bottom w:val="none" w:color="auto" w:sz="0" w:space="0"/>
                  <w:right w:val="none" w:color="auto" w:sz="0" w:space="0"/>
                  <w:insideH w:val="none" w:color="auto" w:sz="0" w:space="0"/>
                  <w:insideV w:val="none" w:color="auto" w:sz="0" w:space="0"/>
                </w:tblBorders>
                <w:shd w:val="clear" w:color="auto" w:fill="auto"/>
                <w:tblCellMar>
                  <w:top w:w="0" w:type="dxa"/>
                  <w:left w:w="108" w:type="dxa"/>
                  <w:bottom w:w="0" w:type="dxa"/>
                  <w:right w:w="108" w:type="dxa"/>
                </w:tblCellMar>
              </w:tblPrEx>
              <w:trPr>
                <w:trHeight w:val="260" w:hRule="atLeast"/>
              </w:trPr>
              <w:tc>
                <w:tcPr>
                  <w:tcW w:w="3240" w:type="dxa"/>
                  <w:tcBorders>
                    <w:top w:val="nil"/>
                    <w:left w:val="nil"/>
                    <w:bottom w:val="single" w:color="000000" w:sz="4" w:space="0"/>
                    <w:right w:val="single" w:color="D4D4D4" w:sz="4" w:space="0"/>
                  </w:tcBorders>
                  <w:shd w:val="clear" w:color="auto" w:fill="C0C0C0"/>
                  <w:noWrap/>
                  <w:vAlign w:val="top"/>
                </w:tcPr>
                <w:p w14:paraId="46CD091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en-US" w:eastAsia="zh-CN"/>
                    </w:rPr>
                    <w:t>行业(*此处行业指</w:t>
                  </w:r>
                </w:p>
                <w:p w14:paraId="308DD6D8">
                  <w:pPr>
                    <w:keepNext w:val="0"/>
                    <w:keepLines w:val="0"/>
                    <w:widowControl/>
                    <w:suppressLineNumbers w:val="0"/>
                    <w:jc w:val="left"/>
                    <w:textAlignment w:val="center"/>
                    <w:rPr>
                      <w:rFonts w:hint="eastAsia" w:ascii="宋体" w:hAnsi="宋体" w:eastAsia="宋体" w:cs="宋体"/>
                      <w:i w:val="0"/>
                      <w:iCs w:val="0"/>
                      <w:color w:val="000000"/>
                      <w:sz w:val="18"/>
                      <w:szCs w:val="18"/>
                      <w:u w:val="none"/>
                    </w:rPr>
                  </w:pPr>
                  <w:r>
                    <w:rPr>
                      <w:rFonts w:hint="eastAsia" w:ascii="宋体" w:hAnsi="宋体" w:cs="宋体"/>
                      <w:color w:val="000000"/>
                      <w:kern w:val="0"/>
                      <w:szCs w:val="21"/>
                      <w:lang w:val="en-US" w:eastAsia="zh-CN"/>
                    </w:rPr>
                    <w:t>被审计单位所处行业)</w:t>
                  </w:r>
                </w:p>
              </w:tc>
            </w:tr>
          </w:tbl>
          <w:p w14:paraId="55B295A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DE837A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占比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7A7FF3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30A9F3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FEA926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1.占比最大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FC028D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61AA4CD">
            <w:pPr>
              <w:widowControl/>
              <w:jc w:val="left"/>
              <w:rPr>
                <w:rFonts w:hint="eastAsia" w:ascii="宋体" w:hAnsi="宋体" w:eastAsia="宋体" w:cs="宋体"/>
                <w:color w:val="000000"/>
                <w:kern w:val="0"/>
                <w:szCs w:val="21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（下拉菜单）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B00D67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044A1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1967E0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04D175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2.占比第二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6E86B2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7806A6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（下拉菜单）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C65AE0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0304D1F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27BD5A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FBD418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3.占比第三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B26DB7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42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3D989C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  <w:lang w:eastAsia="zh-CN"/>
              </w:rPr>
              <w:t>（下拉菜单）</w:t>
            </w:r>
          </w:p>
        </w:tc>
        <w:tc>
          <w:tcPr>
            <w:tcW w:w="246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FE2F56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100078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798D11A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777C69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六、审计业务对象分类统计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6E11CB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1ADA962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收入占比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BBD7A1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44F2FA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A817EC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1.IPO</w:t>
            </w:r>
            <w:r>
              <w:rPr>
                <w:rFonts w:ascii="宋体" w:hAnsi="宋体" w:cs="宋体"/>
                <w:color w:val="000000"/>
                <w:kern w:val="0"/>
                <w:szCs w:val="21"/>
              </w:rPr>
              <w:t xml:space="preserve"> 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5490BB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58565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313ADF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1737ECC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273FA37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2.国有企业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A36F9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21C135B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0D0F8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78171FA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41F28CE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3.上市公司**</w:t>
            </w: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ab/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DF201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359C197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148FC88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2BC5247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exact"/>
        </w:trPr>
        <w:tc>
          <w:tcPr>
            <w:tcW w:w="52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3AD52E1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 xml:space="preserve">    4.行政事业单位***</w:t>
            </w:r>
          </w:p>
        </w:tc>
        <w:tc>
          <w:tcPr>
            <w:tcW w:w="105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5D61A6A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488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970F9D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28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6C4E58C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Cs w:val="21"/>
              </w:rPr>
              <w:t>　</w:t>
            </w:r>
          </w:p>
        </w:tc>
      </w:tr>
      <w:tr w14:paraId="69BD3C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A4FB5C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备注：</w:t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br w:type="textWrapping"/>
            </w: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*指会计师事务所在境外设立的、具有实质控制权的分支机构的收入，以人民币表示；</w:t>
            </w:r>
          </w:p>
          <w:p w14:paraId="699DA6E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**指在深交所、北交所、上交所3家交易所上市的企业，不含新三板企业；</w:t>
            </w:r>
          </w:p>
          <w:p w14:paraId="458F794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***包含为行政事业单位提供的非年度审计的专项审计业务，如离任审计等其他专项审计业务。</w:t>
            </w:r>
          </w:p>
        </w:tc>
      </w:tr>
      <w:tr w14:paraId="5FE5305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B4CF16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7E4A5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34D06D2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  <w:tr w14:paraId="194C89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14021" w:type="dxa"/>
            <w:gridSpan w:val="5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14E65CE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Cs w:val="21"/>
              </w:rPr>
            </w:pPr>
          </w:p>
        </w:tc>
      </w:tr>
    </w:tbl>
    <w:p w14:paraId="5768B22F">
      <w:pPr>
        <w:widowControl/>
        <w:jc w:val="left"/>
        <w:rPr>
          <w:rFonts w:ascii="仿宋_GB2312" w:hAnsi="仿宋" w:eastAsia="仿宋_GB2312"/>
          <w:sz w:val="32"/>
          <w:szCs w:val="32"/>
        </w:rPr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W w:w="9174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304"/>
        <w:gridCol w:w="606"/>
        <w:gridCol w:w="2537"/>
        <w:gridCol w:w="2727"/>
      </w:tblGrid>
      <w:tr w14:paraId="6538A7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0" w:hRule="atLeast"/>
          <w:jc w:val="center"/>
        </w:trPr>
        <w:tc>
          <w:tcPr>
            <w:tcW w:w="91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1036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主营业务成本表</w:t>
            </w:r>
          </w:p>
          <w:p w14:paraId="15CC74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</w:pPr>
            <w:r>
              <w:rPr>
                <w:rFonts w:hint="eastAsia" w:ascii="宋体" w:hAnsi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2025年度</w:t>
            </w:r>
          </w:p>
        </w:tc>
      </w:tr>
      <w:tr w14:paraId="6586C7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  <w:jc w:val="center"/>
        </w:trPr>
        <w:tc>
          <w:tcPr>
            <w:tcW w:w="9174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7407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C27E8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A21A5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BFF84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C7FF1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会所03表附表2</w:t>
            </w:r>
          </w:p>
        </w:tc>
      </w:tr>
      <w:tr w14:paraId="0ADC94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F2A12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3143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AD2C5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A179D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 w14:paraId="6ABF5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27B6E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1AC82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A66FD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上年数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393F2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本年累计数</w:t>
            </w:r>
          </w:p>
        </w:tc>
      </w:tr>
      <w:tr w14:paraId="714AB0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DEB22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6882B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478FC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597A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41C1E7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CEFCAA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工资薪酬支出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B6056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F53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1A00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AB113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BC0D2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其中：合伙人（股东）工资薪酬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6AB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10711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68656C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C4CA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0B6102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高级经理级人员工资薪酬支出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1D90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1FF8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E8CEA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4EB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A76815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经理级人员工资薪酬支出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D5446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C9B3E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90E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9D797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9710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其他人员工资薪酬支出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91225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BD3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B16D8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42AB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6F85B0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职工福利费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4B86D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0587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E432F6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CF82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5C12AD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社会保险费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EDCC8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777A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EB05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24A4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999814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F870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0289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7BEC2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36DE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609A4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D65B3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205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B81C7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6DE32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465281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368E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03ECA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6A96E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6295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9AE1D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16BAC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6CEE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6EDE4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455E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C9BCB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A47D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B3FB7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AFACB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76D5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CE9D4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其中：办公场所租赁支出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64300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99607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B65F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14968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0E6224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交通工具、办公设备租赁支出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7B9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63B3D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B91E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DB35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E8DBE6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63373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41338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92C634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9DDEC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96228B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职业责任保险费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0A523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5957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E7CD7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C3D3B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4250C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职业风险基金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7C143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518C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A214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0905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8BAFC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物料用品消耗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E1E47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355F7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B7894D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98795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45262D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折旧费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C85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E36E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F55E8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A782D2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29ED6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低值易耗品摊销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76B6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E0A1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AE78B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BEEA6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00671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工作底稿印刷费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E3FB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94164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3D8E5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63010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61733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04BC6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C3AB0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342F5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8291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2D897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咨询费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EE0C6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29CA5D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F2A5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829C9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9E84F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业务招待费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CEAB1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B78D4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468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4D9C0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FAE6C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0AC7A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A7D61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7015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6527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atLeast"/>
          <w:jc w:val="center"/>
        </w:trPr>
        <w:tc>
          <w:tcPr>
            <w:tcW w:w="330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E4D77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60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272E3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253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9AED3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7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F5159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E4E74E0"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 w14:paraId="0EF88FE9"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 w14:paraId="3DA2DC54"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 w14:paraId="2414C900"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p w14:paraId="1C14420D">
      <w:pPr>
        <w:widowControl/>
        <w:jc w:val="left"/>
        <w:rPr>
          <w:rFonts w:ascii="仿宋_GB2312" w:hAnsi="仿宋" w:eastAsia="仿宋_GB2312"/>
          <w:sz w:val="32"/>
          <w:szCs w:val="32"/>
        </w:rPr>
      </w:pPr>
    </w:p>
    <w:tbl>
      <w:tblPr>
        <w:tblStyle w:val="18"/>
        <w:tblW w:w="8504" w:type="dxa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55"/>
        <w:gridCol w:w="804"/>
        <w:gridCol w:w="1046"/>
        <w:gridCol w:w="2073"/>
      </w:tblGrid>
      <w:tr w14:paraId="6113E93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5" w:hRule="atLeast"/>
        </w:trPr>
        <w:tc>
          <w:tcPr>
            <w:tcW w:w="10449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46123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管理费用表</w:t>
            </w:r>
          </w:p>
        </w:tc>
      </w:tr>
      <w:tr w14:paraId="49B6DC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EC06B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 w14:paraId="173938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37F71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81FC1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55F917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会所03表附表3</w:t>
            </w:r>
          </w:p>
        </w:tc>
      </w:tr>
      <w:tr w14:paraId="46F45D6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C4B64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0" w:type="auto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0D62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B86B252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 w14:paraId="2A37422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8B26C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5954F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68F5B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上年数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41E6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本年累计数</w:t>
            </w:r>
          </w:p>
        </w:tc>
      </w:tr>
      <w:tr w14:paraId="21AB8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97E82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72F03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91E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64D16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3A2B670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94FA0C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工资薪酬支出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60320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AD11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7D2AA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74729B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1BE20A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其中：合伙人（股东）工资薪酬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F6905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60FE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2BD2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5E52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4B40B0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高级经理级人员工资薪酬支出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BA881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B48EFA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5B749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143FA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95DC7F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经理级人员工资薪酬支出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A43F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D575F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13FAA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5327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DF16B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其他人员工资薪酬支出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B8344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20879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98F0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79D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DA9DDB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职工福利费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ED967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CA64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E65F3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8C1B6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C72A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社会保险费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7555F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9B629B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DC78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45BEE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551DA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办公费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57069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5E3467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2BA99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1F1E3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7EC8D5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差旅费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4A35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C919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A807F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EA579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C3A41D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劳务费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C1B9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D5CDE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06111F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B087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6A4AE6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邮电费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69553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22C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834C8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EDB0D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7BD8D9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水电费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341C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5A87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25E7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5C95C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5D24A4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修理费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F249A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79E8E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9E44B8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F271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D8A2A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租赁费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F3463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CC9C0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34401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F1DE7C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CD3EB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其中：办公场所租赁支出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56AF4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22B6EB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87EA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A84C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F95E4F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交通工具、办公设备租赁支出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1F303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2BDE6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6BA0BF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2546F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00D8B5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其他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4B47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35A02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42E2C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A690D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2435ED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职业责任保险费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F7917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715CC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6E6E3F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0D1E3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3B8876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职业风险基金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964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5AFF3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FAC2F1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7530A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5792D8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物料用品消耗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33FC5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774FC6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26789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0C11F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F8AE4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折旧费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2852D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1C819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8B068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357B3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868EC3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低值易耗品摊销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CE1F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1EAD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0210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728A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D186BE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工会经费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E18A8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4F82E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D7058B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6BB8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2566FE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会议费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73EC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A59C11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3581B5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24B73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7717E1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聘请中介机构费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2BABC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F23FD3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1B1F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D05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6F9E09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咨询费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75623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E22D8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C777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3B57F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65494A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诉讼费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AF9C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ED434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AE5B4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8DBEE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F684A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行业会费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061A1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24D34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E81DB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F224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7AF79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业务招待费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40423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BD40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FE1D4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D70A8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D9549C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上缴管理费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22C18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A57309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6084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5BC6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9B6BE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其中：上缴国内管理总部管理费或服务费等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8ACE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EC79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04EFD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63C9F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5F0695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上交国际会计网络年费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29B96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0C8485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3402F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BE5F7F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F3281E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存货盘亏或盘盈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2B044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01F34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82803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8BA9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86CA8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计提坏账准备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7C677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C8E3FC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563C3C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5A949C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2B0BE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计提的存货跌价准备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A99FA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71339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F4CA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DD0CB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AFAF338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其他费用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AC507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127DFA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628040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C43F0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0CAFE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989D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D3DBF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64B67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084C517F">
      <w:pPr>
        <w:widowControl/>
        <w:jc w:val="left"/>
      </w:pPr>
      <w:r>
        <w:br w:type="page"/>
      </w:r>
    </w:p>
    <w:tbl>
      <w:tblPr>
        <w:tblStyle w:val="18"/>
        <w:tblpPr w:leftFromText="180" w:rightFromText="180" w:vertAnchor="text" w:horzAnchor="page" w:tblpX="1569" w:tblpY="296"/>
        <w:tblOverlap w:val="never"/>
        <w:tblW w:w="9078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13"/>
        <w:gridCol w:w="945"/>
        <w:gridCol w:w="2292"/>
        <w:gridCol w:w="2228"/>
      </w:tblGrid>
      <w:tr w14:paraId="13DEC2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5" w:hRule="atLeast"/>
        </w:trPr>
        <w:tc>
          <w:tcPr>
            <w:tcW w:w="90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32B9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专项支出统计表</w:t>
            </w:r>
          </w:p>
        </w:tc>
      </w:tr>
      <w:tr w14:paraId="4731C8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9078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203CB4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 w14:paraId="70373E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47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ADAC28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323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DBD436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E60693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会所03表附表3-1</w:t>
            </w:r>
          </w:p>
        </w:tc>
      </w:tr>
      <w:tr w14:paraId="18DFB1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C1D58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3237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14B84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52C1129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 w14:paraId="6B3A87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2DD97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94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15C8A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15D3A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上年数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751BA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本年累计数</w:t>
            </w:r>
          </w:p>
        </w:tc>
      </w:tr>
      <w:tr w14:paraId="4B28E9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407FD2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0F6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DB805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75DEC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662DC7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4914A2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人才培养支出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B23DE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0A70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9B52B1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B04B7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4292259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其中：境内培训支出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5F793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7CB70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801E0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78FCC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0813A7F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境外培训支出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90240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99D23C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ECD97E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71073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7FEA610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信息化支出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79120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D1BD7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D04A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9C50A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1EC6F6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其中：审计作业系统开发、采购及运维费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881F4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C640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10425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06A61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7FABDDE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内部管理系统开发、采购及运维费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67EEA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85809B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9C9B46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D5694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2509525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基础设施采购及运维费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4F48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54FD2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DDCAF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5D588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0864BEC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网络服务费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1877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BE07B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21026B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93EF2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090561C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信息安全合规类费用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EEA1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775DEA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D3A4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8198B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4" w:hRule="atLeast"/>
        </w:trPr>
        <w:tc>
          <w:tcPr>
            <w:tcW w:w="3613" w:type="dxa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C0C0C0"/>
            <w:noWrap/>
            <w:vAlign w:val="center"/>
          </w:tcPr>
          <w:p w14:paraId="2F07F9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合   计</w:t>
            </w:r>
          </w:p>
        </w:tc>
        <w:tc>
          <w:tcPr>
            <w:tcW w:w="945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1D007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22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C8955E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222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0E629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CE3F4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9078" w:type="dxa"/>
            <w:gridSpan w:val="4"/>
            <w:tcBorders>
              <w:top w:val="nil"/>
              <w:left w:val="nil"/>
              <w:bottom w:val="nil"/>
              <w:right w:val="single" w:color="D4D4D4" w:sz="4" w:space="0"/>
            </w:tcBorders>
            <w:shd w:val="clear" w:color="auto" w:fill="FFFFFF"/>
            <w:vAlign w:val="center"/>
          </w:tcPr>
          <w:p w14:paraId="37C11E7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FF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FF0000"/>
                <w:kern w:val="0"/>
                <w:sz w:val="18"/>
                <w:szCs w:val="18"/>
                <w:u w:val="none"/>
                <w:lang w:val="en-US" w:eastAsia="zh-CN" w:bidi="ar"/>
              </w:rPr>
              <w:t>注：*请仔细阅读指标口径后，根据指标口径进行填写。具体指标口径说明请点击如下链接或指标名称下载：</w:t>
            </w:r>
          </w:p>
        </w:tc>
      </w:tr>
      <w:tr w14:paraId="4E7D52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08" w:hRule="atLeast"/>
        </w:trPr>
        <w:tc>
          <w:tcPr>
            <w:tcW w:w="4558" w:type="dxa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auto" w:fill="FFFFFF"/>
            <w:vAlign w:val="center"/>
          </w:tcPr>
          <w:p w14:paraId="6BA908BA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u w:val="single"/>
              </w:rPr>
              <w:t>人才培养支出口径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  <w:t>_说明</w:t>
            </w:r>
          </w:p>
        </w:tc>
        <w:tc>
          <w:tcPr>
            <w:tcW w:w="4520" w:type="dxa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D4D4D4" w:sz="4" w:space="0"/>
            </w:tcBorders>
            <w:shd w:val="clear" w:color="auto" w:fill="FFFFFF"/>
            <w:vAlign w:val="center"/>
          </w:tcPr>
          <w:p w14:paraId="5FC0B88B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 w:val="30"/>
                <w:szCs w:val="30"/>
                <w:u w:val="singl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u w:val="single"/>
              </w:rPr>
              <w:t>信息化支出口径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u w:val="single"/>
              </w:rPr>
              <w:t>_说明</w:t>
            </w:r>
          </w:p>
        </w:tc>
      </w:tr>
    </w:tbl>
    <w:p w14:paraId="5905B328">
      <w:pPr>
        <w:widowControl/>
        <w:jc w:val="left"/>
      </w:pPr>
    </w:p>
    <w:p w14:paraId="1467FDD8">
      <w:pPr>
        <w:widowControl/>
        <w:jc w:val="left"/>
      </w:pPr>
    </w:p>
    <w:p w14:paraId="29FB0DF9">
      <w:pPr>
        <w:widowControl/>
        <w:jc w:val="left"/>
      </w:pPr>
    </w:p>
    <w:p w14:paraId="42E414A2">
      <w:pPr>
        <w:widowControl/>
        <w:jc w:val="left"/>
      </w:pPr>
    </w:p>
    <w:p w14:paraId="3359AAE4">
      <w:pPr>
        <w:widowControl/>
        <w:jc w:val="left"/>
      </w:pPr>
    </w:p>
    <w:p w14:paraId="18626D98">
      <w:pPr>
        <w:widowControl/>
        <w:jc w:val="left"/>
      </w:pPr>
    </w:p>
    <w:p w14:paraId="1B94F296">
      <w:pPr>
        <w:widowControl/>
        <w:jc w:val="left"/>
      </w:pPr>
    </w:p>
    <w:p w14:paraId="43D187E4">
      <w:pPr>
        <w:widowControl/>
        <w:jc w:val="left"/>
      </w:pPr>
    </w:p>
    <w:p w14:paraId="07751EAD">
      <w:pPr>
        <w:widowControl/>
        <w:jc w:val="left"/>
      </w:pPr>
    </w:p>
    <w:p w14:paraId="51F26A61">
      <w:pPr>
        <w:widowControl/>
        <w:jc w:val="left"/>
      </w:pPr>
    </w:p>
    <w:p w14:paraId="11684E25">
      <w:pPr>
        <w:pStyle w:val="50"/>
        <w:spacing w:line="120" w:lineRule="exact"/>
        <w:ind w:firstLine="640"/>
      </w:pPr>
    </w:p>
    <w:p w14:paraId="137523B2">
      <w:pPr>
        <w:pStyle w:val="50"/>
        <w:spacing w:line="120" w:lineRule="exact"/>
        <w:ind w:firstLine="640"/>
        <w:sectPr>
          <w:pgSz w:w="11906" w:h="16838"/>
          <w:pgMar w:top="1440" w:right="1474" w:bottom="1440" w:left="1474" w:header="851" w:footer="992" w:gutter="0"/>
          <w:cols w:space="425" w:num="1"/>
          <w:docGrid w:type="linesAndChars" w:linePitch="312" w:charSpace="0"/>
        </w:sectPr>
      </w:pPr>
    </w:p>
    <w:tbl>
      <w:tblPr>
        <w:tblStyle w:val="18"/>
        <w:tblW w:w="0" w:type="auto"/>
        <w:tblInd w:w="96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986"/>
        <w:gridCol w:w="576"/>
        <w:gridCol w:w="1648"/>
        <w:gridCol w:w="1656"/>
      </w:tblGrid>
      <w:tr w14:paraId="04142C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886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71D13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sz w:val="20"/>
                <w:szCs w:val="20"/>
                <w:u w:val="none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olor w:val="000000"/>
                <w:kern w:val="0"/>
                <w:sz w:val="20"/>
                <w:szCs w:val="20"/>
                <w:u w:val="none"/>
                <w:lang w:val="en-US" w:eastAsia="zh-CN" w:bidi="ar"/>
              </w:rPr>
              <w:t>现金流量表</w:t>
            </w:r>
          </w:p>
        </w:tc>
      </w:tr>
      <w:tr w14:paraId="399CCB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8866" w:type="dxa"/>
            <w:gridSpan w:val="4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91DAFC">
            <w:pPr>
              <w:jc w:val="center"/>
              <w:rPr>
                <w:rFonts w:hint="default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  <w:lang w:val="en-US" w:eastAsia="zh-CN"/>
              </w:rPr>
              <w:t>2025年度</w:t>
            </w:r>
          </w:p>
        </w:tc>
      </w:tr>
      <w:tr w14:paraId="5D73D60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575659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单位编码：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A3869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046F14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会所04表</w:t>
            </w:r>
          </w:p>
        </w:tc>
      </w:tr>
      <w:tr w14:paraId="5922C7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AF0CB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单位名称：</w:t>
            </w:r>
          </w:p>
        </w:tc>
        <w:tc>
          <w:tcPr>
            <w:tcW w:w="2224" w:type="dxa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FE0E5F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BF06B1">
            <w:pPr>
              <w:keepNext w:val="0"/>
              <w:keepLines w:val="0"/>
              <w:widowControl/>
              <w:suppressLineNumbers w:val="0"/>
              <w:jc w:val="righ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单位：元</w:t>
            </w:r>
          </w:p>
        </w:tc>
      </w:tr>
      <w:tr w14:paraId="6B362A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10E7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项        目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931E5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行次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310C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上期金额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238FC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本期金额</w:t>
            </w:r>
          </w:p>
        </w:tc>
      </w:tr>
      <w:tr w14:paraId="1C8D9C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A08C7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栏        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D8D1A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--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DCDE6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D2B4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</w:tr>
      <w:tr w14:paraId="163B360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64ED8A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一、经营活动产生的现金流量：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C3A0F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CB3DCD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8AA86E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5543E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40E638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销售商品、提供劳务收到的现金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E61B1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F4A1B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23DE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0CF7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B2A9ED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收到的税费返还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B21D5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A1D402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020C20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C7DC7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F20757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收到其他与经营活动有关的现金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B83A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7F9B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FC2E1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2FFD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E7A38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经营活动现金流入小计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E07F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EBCDB5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7ABF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4A37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E6888B7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购买商品、接受劳务支付的现金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F1618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C53A44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D8F49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50602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CE794D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支付给职工以及为职工支付的现金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08B73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0E892F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8EA142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0F1CE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88F5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支付的各项税费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7E340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9F1FE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16E7E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00CEB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CCE996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支付其他与经营活动有关的现金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258ED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EFB07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2254B6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4F177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3376EF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经营活动现金流出小计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4765B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152278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53D4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F0ECF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D22D82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经营活动产生的现金流量净额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0B898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818F6C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10F7F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12D65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27348CC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二、投资活动产生的现金流量：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026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92CC3D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17C62D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365798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C83B0C5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收回投资收到的现金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34821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6ED8B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5DCEAB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8E51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C48F4E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取得投资收益收到的现金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6F35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6F2D8A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E597F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C0BE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4A1F66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处置固定资产、无形资产和其他长期资产收回的现金净额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AB1A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45C2E5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3D43E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C4142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73D9EC3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处置子公司及其他营业单位收到的现金净额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B6AF7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1DDBF1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C74AF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46F61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1F190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收到其他与投资活动有关的现金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0FED7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53F8C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34A77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FE570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E4833AF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投资活动现金流入小计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DD5C2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A676E6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67F1B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FF795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648C30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购建固定资产、无形资产和其他长期资产支付的现金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482DF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F47868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376DCA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3BEDE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92B610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投资支付的现金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09390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B65F05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4A2F8A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AB0E5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39C15B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取得子公司及其他营业单位支付的现金净额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9801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7BA78F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F774EC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E98C0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32C994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支付其他与投资活动有关的现金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0DA82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CB7A14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C9EFB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2A74B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3B0F153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投资活动现金流出小计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05DB0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B22F2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0DAEC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AF217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70DCC1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投资活动产生的现金流量净额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9CF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7D194C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09F568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47CF6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B4A3824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三、筹资活动产生的现金流量：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0CB9B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5E997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82F91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02F31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3574BF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吸收投资收到的现金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13EC6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60ACB9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0FEE1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BFAF6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1126E3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取得借款收到的现金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92FF0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C9171F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57DF05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025A5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BB80CDD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收到其他与筹资活动有关的现金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F18B2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FC68E7A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027973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BD9CD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D089172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筹资活动现金流入小计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A9FB6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29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0389BA2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41BA62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28F00F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10E89B9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偿还债务支付的现金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58A1E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7812540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501CA4B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0990EB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7D8A59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分配股利、利润或偿付利息支付的现金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A443D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F04F53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B86ED3B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24ABFA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372DCC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支付其他与筹资活动有关的现金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5EC7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B4EFDC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351D9F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27959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7F1FB9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筹资活动现金流出小计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22463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53B5E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107AD83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7ED7BC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AAF8C0E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      筹资活动产生的现金流量净额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52B0B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3BEE6F8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72BDAE1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6D6ADE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04AFE4DA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四、汇率变动对现金及现金等价物的影响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11B0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35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4746F5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04699FBE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3AD3B1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9F8D50B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五、现金及现金等价物净增加额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4AB67E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36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7329A159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21EF024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1C6DE6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66EBA4E6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  加：期初现金及现金等价物余额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2EA7A3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37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4E403807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11A9F79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  <w:tr w14:paraId="51B106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2" w:hRule="exact"/>
        </w:trPr>
        <w:tc>
          <w:tcPr>
            <w:tcW w:w="498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9F486C1"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六、期末现金及现金等价物余额</w:t>
            </w:r>
          </w:p>
        </w:tc>
        <w:tc>
          <w:tcPr>
            <w:tcW w:w="57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C0C0C0"/>
            <w:noWrap/>
            <w:vAlign w:val="center"/>
          </w:tcPr>
          <w:p w14:paraId="704382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38</w:t>
            </w:r>
          </w:p>
        </w:tc>
        <w:tc>
          <w:tcPr>
            <w:tcW w:w="164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23F44666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  <w:tc>
          <w:tcPr>
            <w:tcW w:w="165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auto" w:fill="FFFFFF"/>
            <w:noWrap/>
            <w:vAlign w:val="center"/>
          </w:tcPr>
          <w:p w14:paraId="6D305CED">
            <w:pPr>
              <w:jc w:val="right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0"/>
                <w:szCs w:val="20"/>
                <w:u w:val="none"/>
              </w:rPr>
            </w:pPr>
          </w:p>
        </w:tc>
      </w:tr>
    </w:tbl>
    <w:p w14:paraId="6DD0D3F6">
      <w:pPr>
        <w:pStyle w:val="50"/>
        <w:spacing w:line="120" w:lineRule="exact"/>
        <w:ind w:firstLine="640"/>
      </w:pPr>
    </w:p>
    <w:p w14:paraId="15444757">
      <w:pPr>
        <w:widowControl/>
        <w:jc w:val="left"/>
        <w:rPr>
          <w:rFonts w:ascii="仿宋_GB2312" w:hAnsi="仿宋" w:eastAsia="仿宋_GB2312"/>
          <w:sz w:val="32"/>
          <w:szCs w:val="32"/>
        </w:rPr>
      </w:pPr>
      <w:r>
        <w:br w:type="page"/>
      </w:r>
    </w:p>
    <w:p w14:paraId="56FC3B9B">
      <w:pPr>
        <w:sectPr>
          <w:pgSz w:w="11906" w:h="16838"/>
          <w:pgMar w:top="1440" w:right="1474" w:bottom="1440" w:left="1474" w:header="851" w:footer="992" w:gutter="0"/>
          <w:cols w:space="425" w:num="1"/>
          <w:docGrid w:type="lines" w:linePitch="312" w:charSpace="0"/>
        </w:sectPr>
      </w:pPr>
    </w:p>
    <w:tbl>
      <w:tblPr>
        <w:tblStyle w:val="18"/>
        <w:tblW w:w="14461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12"/>
        <w:gridCol w:w="740"/>
        <w:gridCol w:w="752"/>
        <w:gridCol w:w="503"/>
        <w:gridCol w:w="503"/>
        <w:gridCol w:w="503"/>
        <w:gridCol w:w="503"/>
        <w:gridCol w:w="752"/>
        <w:gridCol w:w="626"/>
        <w:gridCol w:w="503"/>
        <w:gridCol w:w="527"/>
        <w:gridCol w:w="805"/>
        <w:gridCol w:w="450"/>
        <w:gridCol w:w="503"/>
        <w:gridCol w:w="503"/>
        <w:gridCol w:w="503"/>
        <w:gridCol w:w="503"/>
        <w:gridCol w:w="752"/>
        <w:gridCol w:w="626"/>
        <w:gridCol w:w="503"/>
        <w:gridCol w:w="757"/>
        <w:gridCol w:w="732"/>
      </w:tblGrid>
      <w:tr w14:paraId="11C455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14461" w:type="dxa"/>
            <w:gridSpan w:val="22"/>
            <w:shd w:val="clear" w:color="000000" w:fill="FFFFFF"/>
            <w:noWrap/>
            <w:vAlign w:val="center"/>
          </w:tcPr>
          <w:p w14:paraId="23C346F8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 xml:space="preserve">所有者权益变动表 </w:t>
            </w:r>
          </w:p>
        </w:tc>
      </w:tr>
      <w:tr w14:paraId="1A06D9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4461" w:type="dxa"/>
            <w:gridSpan w:val="22"/>
            <w:shd w:val="clear" w:color="000000" w:fill="FFFFFF"/>
            <w:noWrap/>
            <w:vAlign w:val="center"/>
          </w:tcPr>
          <w:p w14:paraId="018F2195">
            <w:pPr>
              <w:widowControl/>
              <w:spacing w:line="260" w:lineRule="exact"/>
              <w:jc w:val="center"/>
              <w:rPr>
                <w:rFonts w:ascii="宋体" w:hAnsi="宋体" w:cs="Arial"/>
                <w:bCs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  <w:lang w:eastAsia="zh-CN"/>
              </w:rPr>
              <w:t>2025</w:t>
            </w:r>
            <w:r>
              <w:rPr>
                <w:rFonts w:hint="eastAsia" w:ascii="宋体" w:hAnsi="宋体" w:cs="Arial"/>
                <w:bCs/>
                <w:color w:val="000000"/>
                <w:kern w:val="0"/>
                <w:szCs w:val="21"/>
              </w:rPr>
              <w:t>年度</w:t>
            </w:r>
          </w:p>
        </w:tc>
      </w:tr>
      <w:tr w14:paraId="0E2912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shd w:val="clear" w:color="000000" w:fill="FFFFFF"/>
            <w:noWrap/>
            <w:vAlign w:val="center"/>
          </w:tcPr>
          <w:p w14:paraId="6111523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740" w:type="dxa"/>
            <w:shd w:val="clear" w:color="000000" w:fill="FFFFFF"/>
            <w:noWrap/>
            <w:vAlign w:val="center"/>
          </w:tcPr>
          <w:p w14:paraId="7D75E9EB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noWrap/>
            <w:vAlign w:val="center"/>
          </w:tcPr>
          <w:p w14:paraId="5DFBDD7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3C50C91C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17FDBAA8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424671C6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44D610B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noWrap/>
            <w:vAlign w:val="center"/>
          </w:tcPr>
          <w:p w14:paraId="60615C9B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shd w:val="clear" w:color="000000" w:fill="FFFFFF"/>
            <w:noWrap/>
            <w:vAlign w:val="center"/>
          </w:tcPr>
          <w:p w14:paraId="460C4648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1FC7D70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shd w:val="clear" w:color="000000" w:fill="FFFFFF"/>
            <w:noWrap/>
            <w:vAlign w:val="center"/>
          </w:tcPr>
          <w:p w14:paraId="42F6785A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shd w:val="clear" w:color="000000" w:fill="FFFFFF"/>
            <w:noWrap/>
            <w:vAlign w:val="center"/>
          </w:tcPr>
          <w:p w14:paraId="09F42E0F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shd w:val="clear" w:color="000000" w:fill="FFFFFF"/>
            <w:noWrap/>
            <w:vAlign w:val="center"/>
          </w:tcPr>
          <w:p w14:paraId="4C6DB34F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0C729C06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59B92BA3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1B665492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0E823BDF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shd w:val="clear" w:color="000000" w:fill="FFFFFF"/>
            <w:noWrap/>
            <w:vAlign w:val="center"/>
          </w:tcPr>
          <w:p w14:paraId="61587201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shd w:val="clear" w:color="000000" w:fill="FFFFFF"/>
            <w:noWrap/>
            <w:vAlign w:val="center"/>
          </w:tcPr>
          <w:p w14:paraId="541D2C5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shd w:val="clear" w:color="000000" w:fill="FFFFFF"/>
            <w:noWrap/>
            <w:vAlign w:val="center"/>
          </w:tcPr>
          <w:p w14:paraId="4904D2B0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shd w:val="clear" w:color="000000" w:fill="FFFFFF"/>
            <w:noWrap/>
            <w:vAlign w:val="center"/>
          </w:tcPr>
          <w:p w14:paraId="39CFAE51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shd w:val="clear" w:color="000000" w:fill="FFFFFF"/>
            <w:noWrap/>
            <w:vAlign w:val="center"/>
          </w:tcPr>
          <w:p w14:paraId="5CF0FF7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会所05表</w:t>
            </w:r>
          </w:p>
        </w:tc>
      </w:tr>
      <w:tr w14:paraId="2B7EEAA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43A2ECDC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740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23FEAD2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E3B6A75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5FBEAA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0FE887B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4BF7EF5E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6E20B9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5566244C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3E43160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57174785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318A4A5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893CF73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3BEAC4B3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3C0A89B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5A31C39F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43CE0594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2BDC592A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7EC312B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6BA0AFE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18188D51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52F9E408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6BAD4B5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 w14:paraId="1E08557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D476EEC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740" w:type="dxa"/>
            <w:vMerge w:val="restart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21CECE6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5977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765EC94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上年金额</w:t>
            </w:r>
          </w:p>
        </w:tc>
        <w:tc>
          <w:tcPr>
            <w:tcW w:w="5832" w:type="dxa"/>
            <w:gridSpan w:val="10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D01E94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本年金额</w:t>
            </w:r>
          </w:p>
        </w:tc>
      </w:tr>
      <w:tr w14:paraId="64A858C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B4F8446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E5C6573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1A228709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实收资本（或股本）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8AC8DC8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其他权益工具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2E3B45C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资本公积</w:t>
            </w: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B106C3E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减：库存股</w:t>
            </w:r>
          </w:p>
        </w:tc>
        <w:tc>
          <w:tcPr>
            <w:tcW w:w="6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36FE552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其他综合收益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1C8154B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盈余公积</w:t>
            </w:r>
          </w:p>
        </w:tc>
        <w:tc>
          <w:tcPr>
            <w:tcW w:w="52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75F1F36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未分配利润</w:t>
            </w:r>
          </w:p>
        </w:tc>
        <w:tc>
          <w:tcPr>
            <w:tcW w:w="805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0CECB831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所有者权益合计</w:t>
            </w:r>
          </w:p>
        </w:tc>
        <w:tc>
          <w:tcPr>
            <w:tcW w:w="450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2741104A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实收资本（或股本）</w:t>
            </w:r>
          </w:p>
        </w:tc>
        <w:tc>
          <w:tcPr>
            <w:tcW w:w="1509" w:type="dxa"/>
            <w:gridSpan w:val="3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15C3773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其他权益工具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0B6B740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资本公积</w:t>
            </w:r>
          </w:p>
        </w:tc>
        <w:tc>
          <w:tcPr>
            <w:tcW w:w="75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348B67D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减：库存股</w:t>
            </w:r>
          </w:p>
        </w:tc>
        <w:tc>
          <w:tcPr>
            <w:tcW w:w="626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3C8D938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其他综合收益</w:t>
            </w:r>
          </w:p>
        </w:tc>
        <w:tc>
          <w:tcPr>
            <w:tcW w:w="503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BB1A096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盈余公积</w:t>
            </w:r>
          </w:p>
        </w:tc>
        <w:tc>
          <w:tcPr>
            <w:tcW w:w="757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5809300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未分配利润</w:t>
            </w:r>
          </w:p>
        </w:tc>
        <w:tc>
          <w:tcPr>
            <w:tcW w:w="732" w:type="dxa"/>
            <w:vMerge w:val="restart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6CBE37DF">
            <w:pPr>
              <w:widowControl/>
              <w:spacing w:line="22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所有者权益合计</w:t>
            </w:r>
          </w:p>
        </w:tc>
      </w:tr>
      <w:tr w14:paraId="67443A5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6A5ED2C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4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417CAC3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390557A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BCAA193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优先股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C07B8D8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永续债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4444E35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F8CF6F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8A39312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BA882E3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29C996E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2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88C71A5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805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49D6B354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450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49C36B4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E75FEC9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优先股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CB5CBDE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永续债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D5AE882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其他</w:t>
            </w: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7E574C17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093402CC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626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2233818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503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D1E89A0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57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9D322C1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  <w:tc>
          <w:tcPr>
            <w:tcW w:w="732" w:type="dxa"/>
            <w:vMerge w:val="continue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32FF16B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</w:p>
        </w:tc>
      </w:tr>
      <w:tr w14:paraId="351C4B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E2658F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F23F3B1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A5EDEEC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4456939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4C66DD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6398C1C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0E075A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8E185B5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7D75602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E01B134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8F4B450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7315B99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1F4271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1BB206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A049B0F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8A8ED14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5438658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BA3917B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13633DD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249984A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20853A8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549AD95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</w:tr>
      <w:tr w14:paraId="7BFB6D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525286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一、上年年末余额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D953570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BF839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E03FF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CA6E4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2B161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C77EF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5779B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BC05C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84F88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2F587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507D38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82A2A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326A8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94A9F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9BC21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453F9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62057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33D31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1668C3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1B597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DAD51C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B5D774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5AC1777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加：会计政策变更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DEA84DB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E9239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0101E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F09F0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2C4EB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AF2E1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5FBE2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94BDF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6F61A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4B6E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64C83A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F796B9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67C4C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E4262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1E9C0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7BD30D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89CB2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8DCF5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1EC04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396EE6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CF5050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AD1D9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DE0AD68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前期差错更正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A6D11D8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001CD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062B7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2992F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B49B2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B2689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9EED8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D525A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BE9D4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7C7F5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727D3C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7C225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14879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4B568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9A38A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F2047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37867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6EA2CD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ADCAC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3A2AA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934A77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5B017A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A6DD840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其他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A3CCFC3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D9016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3DD93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96E9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39BD6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2E318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1757D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2BE66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795EC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34A2E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CF1613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D84EA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2652D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7B6A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6CF14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77319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56EDD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46F7A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DBF1E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22D91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3345D9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5B83AA1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D8BB1EC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二、本年年初余额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D385B8D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736907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1EA785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832303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D5C0DE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67BD81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B8647D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9E13D2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807065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D63863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BAE168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5B91A7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60FEA2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620D47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8FFEBF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A53407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9E418F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862B33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40BD86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2F1169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8608A4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B6F98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9F9971C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三、本年增减变动金额（减少以“-”号填列）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3B19F50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4CFCBB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1F8732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701585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685BA8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4B92EC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A2179E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C6A909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F79C91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DA5BC2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56A27D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EFA136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90C42D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35CC8F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0266CE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A69AE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636910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860EFB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BBE367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17E1D7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A940BD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FC9C21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4F9113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(一）综合收益总额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279AFB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60E5F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0D9F0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D34B4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BB7F3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14768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4E78E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FF827B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01364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90034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45CA05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F9C8C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B6103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6A798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02203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C66A9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4E4F4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03E65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332B4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5FD9B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C17246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3C429BD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A977AED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(二）所有者投入和减少资本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35A92A3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76CD20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FA69CD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091D1A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14CCEB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4E5A63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967B18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F113BC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38D648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DCCA8E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AA6421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0FE3CD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AEDF98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717F08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A6F778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12F0E7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0DD309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8B3292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C32FF5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132A79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74B6BC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CA8B4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748FEDB0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1.所有者投入的普通股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0F5FE1A3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4B064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AD67CC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A1B6EC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817BEB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2E1639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D45406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F97F7C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476161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D26F11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 w14:paraId="6D14AED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DC809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7C1B1F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F98B7D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16A5F3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7FE23B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7912A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09CBE7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585533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569F9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 w14:paraId="414E425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4DDD5C2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56E09E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2.其他权益工具持有者投入资本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2947106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7B688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E2775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3B844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7B078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5C729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3BADC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870C2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47F22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8DD8E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BC32A9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94ABF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D09A3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F90BC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55D5B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9EC13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412F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9BACA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6887D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01FEE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266D05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A0F4CA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2792712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3.股份支付计入所有者权益的金额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0799A58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C659D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9FF23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DCA46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C8D7B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59506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B8343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1970C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76F558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FBDA3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B02169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9DAD8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178F5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10BC1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9CA7F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5F347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2977B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9841C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67A9E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3E358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C65962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D957D3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38C471BE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4.其他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6ACAB1CA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69674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30478C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0016CE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E7005E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17705D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D8F277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8C725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0AA428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B9590E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 w14:paraId="797131D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3A2DE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9AACEC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AA5ECA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FA2C5B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6F6793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7D1F4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419E3F2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7CF42C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B11A4B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 w14:paraId="454298B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2270E6B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8E319B9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(三）利润分配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8D1F34A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1FC1FB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ECCD71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87A564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BF5BC8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DDF18B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1B3804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833EAD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B49E5C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23564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73EB4F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20441E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36B252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3A5C1C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3F4FB9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1D61BB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344EDC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4E7C28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CAE57D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99BF1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EE5A77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FD8476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337AEA0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1.提取盈余公积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809ED82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F9962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414A3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C29A5E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1C0B1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F0B92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DD71F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11072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A27FA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5AEAA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E489CF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CA456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000F8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D9084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6FB63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1709A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063B8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3820B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51EF3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41D8D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41A8C7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E33E4F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31CC00A2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2.对所有者（或股东）的分配</w:t>
            </w:r>
          </w:p>
        </w:tc>
        <w:tc>
          <w:tcPr>
            <w:tcW w:w="7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C0C0C0"/>
            <w:noWrap/>
            <w:vAlign w:val="center"/>
          </w:tcPr>
          <w:p w14:paraId="58C708F1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15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B9AB66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F34C2B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21A536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FA7CE0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13E3D33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5FAAF6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00CEB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BD569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017FAF9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 w14:paraId="78B341A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285AF3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602E24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8FD31C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511564D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B85DA9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394C6E8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26083A5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745FB35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FFFFFF"/>
            <w:noWrap/>
            <w:vAlign w:val="center"/>
          </w:tcPr>
          <w:p w14:paraId="6234597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000000" w:fill="99CC00"/>
            <w:noWrap/>
            <w:vAlign w:val="center"/>
          </w:tcPr>
          <w:p w14:paraId="6711BF9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1A969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8BFE93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3.其他</w:t>
            </w:r>
          </w:p>
        </w:tc>
        <w:tc>
          <w:tcPr>
            <w:tcW w:w="74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FA1F458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16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BDD75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E198B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E42BC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7670F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16257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B5AB4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63F70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93189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37F4F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A9C8ED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3B07B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6969E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82B16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484E2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BF6CA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DC301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6A2C1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1678D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4DBA2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F61C0D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8266F1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ABF0626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(四）所有者权益内部结转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558FD31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17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A0D02B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9FE63C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76D582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00497C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0DDD70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17457F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ED60A1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F4CE03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F8C8B7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7B02D2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359D6D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87AD8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1B796D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DD7340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FA613B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7C633B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763056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B6E9AA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FADE2F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A5F51F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F146E4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C3D6B1B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1.资本公积转增资本（或股本）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275AE5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18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BA2E2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C55C3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78D9A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85156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815B5F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7B2070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2AA14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D2048F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681A9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57F879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FC8F62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9ACFC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A7FEA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9BF9F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9A9ED4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94503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544A6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1DD79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47A43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AF3D3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034338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BE581B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2.盈余公积转增资本（或股本）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9A4296A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19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6420F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F2258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55BB8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4864B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D0729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F1167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536B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DC76C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E7735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261A4B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549B1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EDACD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39877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61127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532AC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BEA7D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ACD7E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D8FCC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F2665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E3BF3B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092DE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28ADB9C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3.盈余公积弥补亏损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AE97625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51F02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BCDA6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75550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76DA8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339CB4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99C16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6AE67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0A891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9BF675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17DCFF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F80C6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6C6D8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A9583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73DB5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0C0BA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3C86C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A24E6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BF9B1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0035F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2388E7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20CC48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435421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4.设定受益计划变动额结转留存收益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0ECE84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21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3B280B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7CE74C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8D281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6615C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B634B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8D6BA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45EE6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FCB1D9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E5FE8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95EC84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3EF451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AE071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42D30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7A34C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0179A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E050A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F9DDC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A8406D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AB2E6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6F7ACF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5D13070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38976D6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5.其他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BB3CC4C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22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BDED53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F8E4B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16362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AC6BA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6A66F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A8A16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C9996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1CC4A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DDFAA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E185FC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62B16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8B269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193BA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86DF9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11239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7CBF7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DFC16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653515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37708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352935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F62335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91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0880726">
            <w:pPr>
              <w:widowControl/>
              <w:spacing w:line="26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四、本年年末余额</w:t>
            </w:r>
          </w:p>
        </w:tc>
        <w:tc>
          <w:tcPr>
            <w:tcW w:w="74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1B25E13">
            <w:pPr>
              <w:widowControl/>
              <w:spacing w:line="26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23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C22A46B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96B9D2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9487619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931685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7C871E6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81705AA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D322CD2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672471C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2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1030E6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8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6C318F7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4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F2FB7B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98CE4E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5A64E5D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66F642F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71E8823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4D111F0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626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208B0B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50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3F357DE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5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782F058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73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F5C4034">
            <w:pPr>
              <w:widowControl/>
              <w:spacing w:line="26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 w14:paraId="64488DA1">
      <w:pPr>
        <w:pStyle w:val="50"/>
        <w:ind w:firstLine="640"/>
      </w:pPr>
    </w:p>
    <w:p w14:paraId="20A53508">
      <w:pPr>
        <w:pStyle w:val="50"/>
        <w:ind w:firstLine="640"/>
      </w:pPr>
    </w:p>
    <w:tbl>
      <w:tblPr>
        <w:tblStyle w:val="18"/>
        <w:tblW w:w="14175" w:type="dxa"/>
        <w:jc w:val="cente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602"/>
        <w:gridCol w:w="1511"/>
        <w:gridCol w:w="2207"/>
        <w:gridCol w:w="3602"/>
        <w:gridCol w:w="3253"/>
      </w:tblGrid>
      <w:tr w14:paraId="08FDEC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14175" w:type="dxa"/>
            <w:gridSpan w:val="5"/>
            <w:shd w:val="clear" w:color="000000" w:fill="FFFFFF"/>
            <w:noWrap/>
            <w:vAlign w:val="center"/>
          </w:tcPr>
          <w:p w14:paraId="2EA8148C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rPr>
                <w:sz w:val="22"/>
              </w:rP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  <w:lang w:eastAsia="zh-CN"/>
              </w:rPr>
              <w:t>2025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年度缴纳各税款情况表</w:t>
            </w:r>
          </w:p>
        </w:tc>
      </w:tr>
      <w:tr w14:paraId="163D1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shd w:val="clear" w:color="000000" w:fill="FFFFFF"/>
            <w:noWrap/>
            <w:vAlign w:val="center"/>
          </w:tcPr>
          <w:p w14:paraId="6D167D0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单位编码：</w:t>
            </w:r>
          </w:p>
        </w:tc>
        <w:tc>
          <w:tcPr>
            <w:tcW w:w="7320" w:type="dxa"/>
            <w:gridSpan w:val="3"/>
            <w:shd w:val="clear" w:color="000000" w:fill="FFFFFF"/>
            <w:noWrap/>
            <w:vAlign w:val="center"/>
          </w:tcPr>
          <w:p w14:paraId="7612618A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shd w:val="clear" w:color="000000" w:fill="FFFFFF"/>
            <w:noWrap/>
            <w:vAlign w:val="center"/>
          </w:tcPr>
          <w:p w14:paraId="6F4C60CE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会所06表</w:t>
            </w:r>
          </w:p>
        </w:tc>
      </w:tr>
      <w:tr w14:paraId="09DCAD2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15EF80BB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单位名称：</w:t>
            </w:r>
          </w:p>
        </w:tc>
        <w:tc>
          <w:tcPr>
            <w:tcW w:w="7320" w:type="dxa"/>
            <w:gridSpan w:val="3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34C72514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357E72B9">
            <w:pPr>
              <w:widowControl/>
              <w:spacing w:line="300" w:lineRule="exact"/>
              <w:jc w:val="righ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单位：元</w:t>
            </w:r>
          </w:p>
        </w:tc>
      </w:tr>
      <w:tr w14:paraId="38F1E9C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1DBA2F5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项        目</w:t>
            </w:r>
          </w:p>
        </w:tc>
        <w:tc>
          <w:tcPr>
            <w:tcW w:w="1511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A4A1E1C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行次</w:t>
            </w:r>
          </w:p>
        </w:tc>
        <w:tc>
          <w:tcPr>
            <w:tcW w:w="220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96FED06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上年数</w:t>
            </w:r>
          </w:p>
        </w:tc>
        <w:tc>
          <w:tcPr>
            <w:tcW w:w="360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7B15758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本年累计数</w:t>
            </w:r>
          </w:p>
        </w:tc>
        <w:tc>
          <w:tcPr>
            <w:tcW w:w="325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33613E3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备注</w:t>
            </w:r>
          </w:p>
        </w:tc>
      </w:tr>
      <w:tr w14:paraId="21CFB33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8B6751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栏        次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F985437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-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1E55611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68EA73E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B18F825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</w:tr>
      <w:tr w14:paraId="7B294A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DB7CE18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增值税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34C19F9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75934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68063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9A98F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4C470D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553DCBA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城市维护建设税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B6B2AA8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2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9AF3C9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62AF3C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5F9A233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576C6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564143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教育费附加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DBEB42D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3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75C05F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08BAA9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EEDB99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0E2AA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D4CDE5D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地方教育费附加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B427A42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4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4FA7DC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D4E40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4CFF56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508A0D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525EEA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企业所得税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94041F3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5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58CFAF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F73AD7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0722AA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4EC5C5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B85C2B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651A501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6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95DAA24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28C72E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6838C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3F5741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F3B4F86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合伙人个人所得税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D8DE461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7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B7FC86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A566D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E7B221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3C7093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337E1C7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  从业人员个人所得税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EB0CE4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8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DC254F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C5338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F1183A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27B1D3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6A4B0E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房产税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9667F8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9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5CA47FC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62A2ACC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911185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58A2193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7F2B815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土地税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C50D2D3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10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3CA8A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E3882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5BEA55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13FF184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375E098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车船使用税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CC4695F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11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52090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4E5FDA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E01FDE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EC23FB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84C81A9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印花税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5BA12AA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12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D76AAB3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DE4CA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511ED0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62C1CB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87E5082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其他税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4405A52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13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8BF163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E0E0CD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DC67A5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  <w:tr w14:paraId="73422C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atLeast"/>
          <w:jc w:val="center"/>
        </w:trPr>
        <w:tc>
          <w:tcPr>
            <w:tcW w:w="36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1718BFE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 xml:space="preserve">  合   计 </w:t>
            </w:r>
          </w:p>
        </w:tc>
        <w:tc>
          <w:tcPr>
            <w:tcW w:w="1511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D0A4133">
            <w:pPr>
              <w:widowControl/>
              <w:spacing w:line="300" w:lineRule="exact"/>
              <w:jc w:val="center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14</w:t>
            </w:r>
          </w:p>
        </w:tc>
        <w:tc>
          <w:tcPr>
            <w:tcW w:w="220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9F37C01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60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8BB1F9C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  <w:tc>
          <w:tcPr>
            <w:tcW w:w="325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5374BB">
            <w:pPr>
              <w:widowControl/>
              <w:spacing w:line="300" w:lineRule="exact"/>
              <w:jc w:val="left"/>
              <w:rPr>
                <w:rFonts w:ascii="宋体" w:hAnsi="宋体" w:cs="Arial"/>
                <w:color w:val="000000"/>
                <w:kern w:val="0"/>
                <w:szCs w:val="21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Cs w:val="21"/>
              </w:rPr>
              <w:t>　</w:t>
            </w:r>
          </w:p>
        </w:tc>
      </w:tr>
    </w:tbl>
    <w:p w14:paraId="3D763203">
      <w:pPr>
        <w:widowControl/>
        <w:spacing w:line="230" w:lineRule="exact"/>
        <w:ind w:firstLine="360"/>
        <w:jc w:val="left"/>
        <w:rPr>
          <w:rFonts w:ascii="宋体" w:hAnsi="宋体" w:cs="Arial"/>
          <w:color w:val="000000"/>
          <w:kern w:val="0"/>
          <w:sz w:val="18"/>
          <w:szCs w:val="18"/>
          <w:highlight w:val="none"/>
        </w:rPr>
      </w:pPr>
      <w:r>
        <w:rPr>
          <w:rFonts w:hint="eastAsia" w:ascii="宋体" w:hAnsi="宋体" w:cs="Arial"/>
          <w:color w:val="000000"/>
          <w:kern w:val="0"/>
          <w:sz w:val="18"/>
          <w:szCs w:val="18"/>
          <w:highlight w:val="none"/>
        </w:rPr>
        <w:t>备注</w:t>
      </w:r>
      <w:r>
        <w:rPr>
          <w:rFonts w:ascii="宋体" w:hAnsi="宋体" w:cs="Arial"/>
          <w:color w:val="000000"/>
          <w:kern w:val="0"/>
          <w:sz w:val="18"/>
          <w:szCs w:val="18"/>
          <w:highlight w:val="none"/>
        </w:rPr>
        <w:t>: *城市维护建设税、教育费附加、地方教育费附加的“本年累计数”请根据12月份增值税纳税申报表中相应税种的“本年累计数”填报，如存在税收减免、优惠或其他情况，请在备注栏进行说明。</w:t>
      </w:r>
    </w:p>
    <w:tbl>
      <w:tblPr>
        <w:tblStyle w:val="18"/>
        <w:tblpPr w:leftFromText="180" w:rightFromText="180" w:vertAnchor="text" w:horzAnchor="page" w:tblpX="1527" w:tblpY="47"/>
        <w:tblOverlap w:val="never"/>
        <w:tblW w:w="14208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261"/>
        <w:gridCol w:w="992"/>
        <w:gridCol w:w="1295"/>
        <w:gridCol w:w="1484"/>
        <w:gridCol w:w="2409"/>
        <w:gridCol w:w="1484"/>
        <w:gridCol w:w="3283"/>
      </w:tblGrid>
      <w:tr w14:paraId="4BC951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8" w:hRule="exact"/>
        </w:trPr>
        <w:tc>
          <w:tcPr>
            <w:tcW w:w="14208" w:type="dxa"/>
            <w:gridSpan w:val="7"/>
            <w:shd w:val="clear" w:color="000000" w:fill="FFFFFF"/>
            <w:noWrap/>
            <w:vAlign w:val="center"/>
          </w:tcPr>
          <w:p w14:paraId="2A360192">
            <w:pPr>
              <w:widowControl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22"/>
              </w:rPr>
            </w:pPr>
            <w:r>
              <w:br w:type="page"/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22"/>
              </w:rPr>
              <w:t>事务所主要指标变动情况表</w:t>
            </w:r>
          </w:p>
        </w:tc>
      </w:tr>
      <w:tr w14:paraId="6AB19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4208" w:type="dxa"/>
            <w:gridSpan w:val="7"/>
            <w:shd w:val="clear" w:color="000000" w:fill="FFFFFF"/>
            <w:noWrap/>
            <w:vAlign w:val="center"/>
          </w:tcPr>
          <w:p w14:paraId="78A42DE5">
            <w:pPr>
              <w:widowControl/>
              <w:spacing w:line="230" w:lineRule="exact"/>
              <w:jc w:val="center"/>
              <w:rPr>
                <w:rFonts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  <w:lang w:eastAsia="zh-CN"/>
              </w:rPr>
              <w:t>2025</w:t>
            </w:r>
            <w:r>
              <w:rPr>
                <w:rFonts w:hint="eastAsia" w:ascii="宋体" w:hAnsi="宋体" w:cs="Arial"/>
                <w:b/>
                <w:bCs/>
                <w:color w:val="000000"/>
                <w:kern w:val="0"/>
                <w:sz w:val="18"/>
                <w:szCs w:val="18"/>
              </w:rPr>
              <w:t>年度</w:t>
            </w:r>
          </w:p>
        </w:tc>
      </w:tr>
      <w:tr w14:paraId="2812FB0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shd w:val="clear" w:color="000000" w:fill="FFFFFF"/>
            <w:noWrap/>
            <w:vAlign w:val="center"/>
          </w:tcPr>
          <w:p w14:paraId="0515F22B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7664" w:type="dxa"/>
            <w:gridSpan w:val="5"/>
            <w:shd w:val="clear" w:color="000000" w:fill="FFFFFF"/>
            <w:noWrap/>
            <w:vAlign w:val="center"/>
          </w:tcPr>
          <w:p w14:paraId="35BFD022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shd w:val="clear" w:color="000000" w:fill="FFFFFF"/>
            <w:noWrap/>
            <w:vAlign w:val="center"/>
          </w:tcPr>
          <w:p w14:paraId="6C35C132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13D4E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04243303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7664" w:type="dxa"/>
            <w:gridSpan w:val="5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31BE972B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bottom w:val="single" w:color="auto" w:sz="4" w:space="0"/>
            </w:tcBorders>
            <w:shd w:val="clear" w:color="000000" w:fill="FFFFFF"/>
            <w:noWrap/>
            <w:vAlign w:val="center"/>
          </w:tcPr>
          <w:p w14:paraId="197B3599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会所07表</w:t>
            </w:r>
          </w:p>
        </w:tc>
      </w:tr>
      <w:tr w14:paraId="395565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9FCCF5B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指   标</w:t>
            </w:r>
          </w:p>
        </w:tc>
        <w:tc>
          <w:tcPr>
            <w:tcW w:w="99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50EECC3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129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E1FE97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上年度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6BBB7E4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本年度</w:t>
            </w:r>
          </w:p>
        </w:tc>
        <w:tc>
          <w:tcPr>
            <w:tcW w:w="2409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79CDB82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比上年增减</w:t>
            </w:r>
          </w:p>
        </w:tc>
        <w:tc>
          <w:tcPr>
            <w:tcW w:w="1484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775BCDE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增减％</w:t>
            </w:r>
          </w:p>
        </w:tc>
        <w:tc>
          <w:tcPr>
            <w:tcW w:w="328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447ADD8B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原因（增减%超过30%时填写）</w:t>
            </w:r>
          </w:p>
        </w:tc>
      </w:tr>
      <w:tr w14:paraId="136349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50554B9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栏   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49940A9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6189909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A11E164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2D878F2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AB8E9C4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6F69AD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</w:tr>
      <w:tr w14:paraId="5DA8C0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2B7BB0C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一、年度收支情况（单位：元）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E7C754D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CD4F269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B16A84C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3C41EF4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98D89E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EB42145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C4A70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7D3E8B6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1.本年业务收入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F949159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00F3D7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4F3AB1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60FEF8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3A337C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53B91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DA820C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1CE4ECA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主营业务收入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D5AF40C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13232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8D1C57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63E33E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245D2B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032E0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1DF1227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9B73CAC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其他业务收入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95D4E0A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CF84AD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A1B99B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4E8C60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C1357F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D5282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A039B8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EA85A0F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国际业务收入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8E9D6E4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D986C4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978BE1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5CB045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CDF9DF9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BFF25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D4C7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736E40F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2.本年支出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936F17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67C149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70F5EB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BA1F93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6EC51D9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3D890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90F47C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A26A3FA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工资薪酬支出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598B7E6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C7E902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2DA31AF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820DAE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D4CD64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AE2BFA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6CE58A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B458567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社会保险费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DBD76A2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017245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452CA95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A30F9C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4EC481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FFC349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6465A8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9285075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职业责任保险费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A1C1D44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84003F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C9B21D9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2153910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D942A1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B1AC4F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C0C1AA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660187B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职业风险基金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2BC480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7BD22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FBE1C7A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C445B1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8AC686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2EA5E6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2E392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3D36A53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办公费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86B551B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4872B3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48C0FF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A11FF8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4F806F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2842D0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B09FC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6CF5315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差旅费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4975432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A67F28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79D2C9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B2EE3A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2278B7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8F48AA0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2EB8EA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C63448C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咨询费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E478E7C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F20D2F0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6B460A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4CFC48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874B5F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0AEDA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B874FE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27ED877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人才培养支出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8CF1E9A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D8C964F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A23BB5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65492D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986373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657FC7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0756E0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C81829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信息化支出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086004C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785795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87BD54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47626E9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E68768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911C7A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95DD36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FFDF5F8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其他费用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482FD3B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3B93E1A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BC8286F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9CBED7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7701CB9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F56DE3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1CBAD1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C692E1F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3.税金支出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F15ED49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980C28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22561A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60549C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12F292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13F07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1CE45E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A9F67F5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增值税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6F7C8B7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CA8073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FB85D6F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32CABD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7DA0525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D2F69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58C821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515FE14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个人所得税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CA091C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19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9E04DF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7FDCB3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E989AF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B129F7F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9C6A6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83399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65BC432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二、年末资产负债情况（单位：元）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269436F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20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5D50755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4F5CB9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461339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0DBEE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EE8EB6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6E403B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05F4B48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1.资产总计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5D2A661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21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D32C4C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413684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63BFF8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6C1806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86ECBCA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7E9BF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2482AB8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     其中：固定资产价值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A908D6F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22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02E0BD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C8F606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8A0EB65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0912E6A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5225E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2513BD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314A624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2.负债总计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AC05C9B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23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7A21EB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008A8F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13AD2F9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3B2C40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46D0E3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933700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6DB633A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3.所有者权益（或股东权益）总计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C7C90C4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24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7B9112A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BC7B75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068F04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A6B3E47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47FD9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41647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702B79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三、年末基础信息情况（单位：个、人）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1C78609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25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173D3B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70A402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2A17FB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2CE886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87214B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0A21BBF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BC3F212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1.从业人员总人数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5B0CFD6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26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0308A40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FB9D04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97BCB2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BB0A1B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6F07FF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79E9D34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vAlign w:val="center"/>
          </w:tcPr>
          <w:p w14:paraId="1A4D9071">
            <w:pPr>
              <w:widowControl/>
              <w:spacing w:line="230" w:lineRule="exact"/>
              <w:jc w:val="left"/>
              <w:rPr>
                <w:rFonts w:ascii="宋体" w:hAnsi="宋体" w:cs="宋体"/>
                <w:color w:val="000000"/>
                <w:sz w:val="18"/>
                <w:szCs w:val="18"/>
              </w:rPr>
            </w:pPr>
            <w:r>
              <w:rPr>
                <w:rFonts w:hint="eastAsia"/>
                <w:color w:val="000000"/>
                <w:sz w:val="18"/>
                <w:szCs w:val="18"/>
              </w:rPr>
              <w:t xml:space="preserve">     </w:t>
            </w: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注册会计师人数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(</w:t>
            </w: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不含合伙人或出资人人数</w:t>
            </w:r>
            <w:r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  <w:t>)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167B2DF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27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5247127C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072B3DD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456A0891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732676B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C5E5E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3B22E1E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BEBEBE" w:themeFill="background1" w:themeFillShade="BF"/>
            <w:noWrap/>
            <w:vAlign w:val="center"/>
          </w:tcPr>
          <w:p w14:paraId="7476318F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合伙人（或）出资人人数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21CDDA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28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AAD6E63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B2D2EE0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667FA7D2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7A1A1A1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116CA5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486B8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3261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6ECFCB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 xml:space="preserve">    2.客户数量</w:t>
            </w:r>
          </w:p>
        </w:tc>
        <w:tc>
          <w:tcPr>
            <w:tcW w:w="992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5D8C0C1">
            <w:pPr>
              <w:widowControl/>
              <w:spacing w:line="230" w:lineRule="exact"/>
              <w:jc w:val="center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29</w:t>
            </w:r>
          </w:p>
        </w:tc>
        <w:tc>
          <w:tcPr>
            <w:tcW w:w="1295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422BB20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F96726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2409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33D98ACE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1484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99CC00"/>
            <w:noWrap/>
            <w:vAlign w:val="center"/>
          </w:tcPr>
          <w:p w14:paraId="25B9BDD8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  <w:tc>
          <w:tcPr>
            <w:tcW w:w="328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E94C614">
            <w:pPr>
              <w:widowControl/>
              <w:spacing w:line="230" w:lineRule="exact"/>
              <w:jc w:val="righ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　</w:t>
            </w:r>
          </w:p>
        </w:tc>
      </w:tr>
      <w:tr w14:paraId="5E30121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4" w:hRule="exact"/>
        </w:trPr>
        <w:tc>
          <w:tcPr>
            <w:tcW w:w="14208" w:type="dxa"/>
            <w:gridSpan w:val="7"/>
            <w:tcBorders>
              <w:top w:val="single" w:color="auto" w:sz="4" w:space="0"/>
            </w:tcBorders>
            <w:shd w:val="clear" w:color="000000" w:fill="FFFFFF"/>
            <w:noWrap/>
            <w:vAlign w:val="center"/>
          </w:tcPr>
          <w:p w14:paraId="4FA02928">
            <w:pPr>
              <w:widowControl/>
              <w:spacing w:line="230" w:lineRule="exact"/>
              <w:jc w:val="left"/>
              <w:rPr>
                <w:rFonts w:ascii="宋体" w:hAnsi="宋体" w:cs="Arial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Arial"/>
                <w:color w:val="000000"/>
                <w:kern w:val="0"/>
                <w:sz w:val="18"/>
                <w:szCs w:val="18"/>
              </w:rPr>
              <w:t>注：1.表中上年度数据取自2022年报备数据； 2.当4栏≥30%时，应在5栏填写原因。</w:t>
            </w:r>
          </w:p>
        </w:tc>
      </w:tr>
    </w:tbl>
    <w:tbl>
      <w:tblPr>
        <w:tblStyle w:val="18"/>
        <w:tblpPr w:leftFromText="180" w:rightFromText="180" w:vertAnchor="text" w:horzAnchor="page" w:tblpX="1436" w:tblpY="86"/>
        <w:tblOverlap w:val="never"/>
        <w:tblW w:w="5263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9"/>
        <w:gridCol w:w="588"/>
        <w:gridCol w:w="1761"/>
        <w:gridCol w:w="1850"/>
        <w:gridCol w:w="588"/>
        <w:gridCol w:w="1761"/>
        <w:gridCol w:w="1850"/>
        <w:gridCol w:w="591"/>
        <w:gridCol w:w="2172"/>
      </w:tblGrid>
      <w:tr w14:paraId="18E2862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5000" w:type="pct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D6EE9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22"/>
                <w:highlight w:val="none"/>
              </w:rPr>
              <w:t>集团所合并业务收入表</w:t>
            </w:r>
          </w:p>
        </w:tc>
      </w:tr>
      <w:tr w14:paraId="672875F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5000" w:type="pct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E91B9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</w:t>
            </w:r>
          </w:p>
        </w:tc>
      </w:tr>
      <w:tr w14:paraId="7A1601C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8D260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3012" w:type="pct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0C0A6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CAC01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会所03表附表1（合并)</w:t>
            </w:r>
          </w:p>
        </w:tc>
      </w:tr>
      <w:tr w14:paraId="208CA70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4920B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3012" w:type="pct"/>
            <w:gridSpan w:val="7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B2DDD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1FFC9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 w14:paraId="79EC94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vMerge w:val="restar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8DCD2C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197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99179F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08669B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上年数</w:t>
            </w:r>
          </w:p>
        </w:tc>
        <w:tc>
          <w:tcPr>
            <w:tcW w:w="1407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86F1B9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本年数</w:t>
            </w:r>
          </w:p>
        </w:tc>
        <w:tc>
          <w:tcPr>
            <w:tcW w:w="726" w:type="pct"/>
            <w:vMerge w:val="restar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D4568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备注</w:t>
            </w:r>
          </w:p>
        </w:tc>
      </w:tr>
      <w:tr w14:paraId="2697BBC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vMerge w:val="continue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vAlign w:val="center"/>
          </w:tcPr>
          <w:p w14:paraId="15D712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97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2CECBBE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A8ACE7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证券期货相关业务*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00D92D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非证券期货相关业务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148E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37A112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证券期货相关业务*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303489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非证券期货相关业务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EEA524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合计</w:t>
            </w:r>
          </w:p>
        </w:tc>
        <w:tc>
          <w:tcPr>
            <w:tcW w:w="72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0A1EAB5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255CF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F3DA37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栏        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7C471F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E4FEB6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744C96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58C227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D00412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93D4E0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3DF872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726" w:type="pct"/>
            <w:vMerge w:val="continue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vAlign w:val="center"/>
          </w:tcPr>
          <w:p w14:paraId="41449B8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</w:p>
        </w:tc>
      </w:tr>
      <w:tr w14:paraId="58125C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0221DCE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一、主营业务收入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1509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3D201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0519A1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918C41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84614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30C44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497403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D52CA64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2DF07C6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F4613F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（一）财务报表审计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8DDB85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D2D0C5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EB91F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CBE366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DF0136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66843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CE4C4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A1FCDB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7404F43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FF3798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1.年报审计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699E95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9023F2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E39F78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4197E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88FC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B3E48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1D718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27448CF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1A82DD6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BF4BDA7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2.中报审计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AA63FFA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05B159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A5BACB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7692E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44692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67563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B9FDE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E836E7F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73F5D4F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8F63106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（二）专项审计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204613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FAF1B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0E367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00F18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2384E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4B108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CF794B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B1AAEBA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652EA0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1610E1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（三）内部控制审计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6F6CC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3DADFB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BC2AE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21F78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627F69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2A5E7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DED998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A48BD4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4548F4D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DF474F9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（四）验资收入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A4295B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776DA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DC3C2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11D9A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AD05E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D221E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EC85E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CF59CD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1D825DD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1E9739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（五）资产评估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438CC6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96D520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6E648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E44A8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2C9D62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A4533C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B5DC4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986E6D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56BB2B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58334A7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（六）涉税鉴证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D14FBD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C6512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89DCC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2E17E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94269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BDBC9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9EA991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EB25274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2314CC3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CCD21F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（七）工程预决算审核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91871E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AED502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CB8928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AD910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F67E97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F482D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BE730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EE337C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3A821C4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A1CC92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（八）其他鉴证业务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907DF2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11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0AD53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FC2DBF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648E3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0AD713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8B5F1E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0330C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22C28A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5FCFE1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3544BA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（九）会计服务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C235D5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12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5C1D9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2E2B94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566A3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0EAC0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0A324C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601215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94F743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049AA6D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81AF0E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（十）税务服务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508E49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D232A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0261F5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B75A0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9717FD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4E022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44AB8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28240F9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5682DC1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AB12533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（十一）咨询服务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9E17BE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14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052C3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5E4394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F0F55F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F2CF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863DF5D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A2DA78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8E2005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270053D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FCD62F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（十二）其他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90CDD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15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C96711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693FAAC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7EB978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05405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35104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B6172E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538C2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D9F48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5F600F9">
            <w:pPr>
              <w:widowControl/>
              <w:jc w:val="left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二、其他业务收入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04F89A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16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342A0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E40929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11516E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DCFD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26BEF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FD1D0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B03711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170F7D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1260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0FCDB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业务收入合计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1148E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17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F1F64A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5F556B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6670D7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9E067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A8C713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C6DC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AFFECCA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39E4738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51F6E308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三、经其他事务所审计的财务报告业务收入*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66A1F650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18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42573F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F857F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EEFE8F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827F19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03DFEF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2AD80FB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C45C1C1">
            <w:pPr>
              <w:widowControl/>
              <w:jc w:val="left"/>
              <w:rPr>
                <w:rFonts w:ascii="宋体" w:hAnsi="宋体" w:cs="宋体"/>
                <w:color w:val="0000FF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FF"/>
                <w:kern w:val="0"/>
                <w:sz w:val="22"/>
              </w:rPr>
              <w:t>　</w:t>
            </w:r>
          </w:p>
        </w:tc>
      </w:tr>
      <w:tr w14:paraId="1BBD376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2C5FF832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四、统一经营的其他专业机构业务收入(上年)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52771078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19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A228E1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A1D13F5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DB57C1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3264E7B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C161A6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5828E03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98FAA1"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 w14:paraId="41511E5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62393B4A">
            <w:pPr>
              <w:widowControl/>
              <w:jc w:val="left"/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  <w:lang w:val="en-US" w:eastAsia="zh-CN"/>
              </w:rPr>
              <w:t>五、国际业务收入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34889EA6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20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0778135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95FEE89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47162AE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1526057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066668F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8A9C74B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9AA8E0"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 w14:paraId="783C5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64BDC429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1.境外分支机构收入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5291983F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21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 w:themeFill="background1"/>
            <w:noWrap/>
            <w:vAlign w:val="center"/>
          </w:tcPr>
          <w:p w14:paraId="1C0BF65F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hd w:val="clear" w:color="auto" w:fill="aut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29E12F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9688D6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172DEC9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B8385B2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652387E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4D69E55"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 w14:paraId="0374AF9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06C94250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2.为内地企业提供境外上市、融资或其他审计服务取得的收入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67F08B5B">
            <w:pPr>
              <w:widowControl/>
              <w:jc w:val="center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22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 w:themeFill="background1"/>
            <w:noWrap/>
            <w:vAlign w:val="center"/>
          </w:tcPr>
          <w:p w14:paraId="3730E01F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hd w:val="clear" w:color="auto" w:fill="aut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1174ED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73D47D1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D194873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4EE00E3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565326B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C85CA6"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 w14:paraId="3E8421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5" w:hRule="exact"/>
        </w:trPr>
        <w:tc>
          <w:tcPr>
            <w:tcW w:w="3759" w:type="dxa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01E10EA4">
            <w:pPr>
              <w:widowControl/>
              <w:jc w:val="left"/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3.来源于境外客户的其他收入</w:t>
            </w:r>
          </w:p>
        </w:tc>
        <w:tc>
          <w:tcPr>
            <w:tcW w:w="58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BEBEBE" w:themeFill="background1" w:themeFillShade="BF"/>
            <w:noWrap/>
            <w:vAlign w:val="center"/>
          </w:tcPr>
          <w:p w14:paraId="33791B26">
            <w:pPr>
              <w:widowControl/>
              <w:jc w:val="center"/>
              <w:rPr>
                <w:rFonts w:hint="default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  <w:lang w:val="en-US" w:eastAsia="zh-CN"/>
              </w:rPr>
              <w:t>23</w:t>
            </w: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 w:themeFill="background1"/>
            <w:noWrap/>
            <w:vAlign w:val="center"/>
          </w:tcPr>
          <w:p w14:paraId="042039A3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  <w:shd w:val="clear" w:color="auto" w:fill="auto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8F4F50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1666015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59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5CF843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620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CCA909B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97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3817423">
            <w:pPr>
              <w:widowControl/>
              <w:jc w:val="right"/>
              <w:rPr>
                <w:rFonts w:hint="eastAsia" w:ascii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726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3ADFDF5">
            <w:pPr>
              <w:widowControl/>
              <w:jc w:val="left"/>
              <w:rPr>
                <w:rFonts w:hint="eastAsia" w:ascii="宋体" w:hAnsi="宋体" w:cs="宋体"/>
                <w:color w:val="0000FF"/>
                <w:kern w:val="0"/>
                <w:sz w:val="22"/>
              </w:rPr>
            </w:pPr>
          </w:p>
        </w:tc>
      </w:tr>
      <w:tr w14:paraId="52E57DA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5" w:hRule="exact"/>
        </w:trPr>
        <w:tc>
          <w:tcPr>
            <w:tcW w:w="5000" w:type="pct"/>
            <w:gridSpan w:val="9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70E2528">
            <w:pPr>
              <w:widowControl/>
              <w:jc w:val="left"/>
              <w:rPr>
                <w:rFonts w:ascii="宋体" w:hAnsi="宋体" w:cs="宋体"/>
                <w:color w:val="EA1A1A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备注：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该表由集团所（含总所）填写根据合并财务报表等相关企业会计准则的确认、计量和列报要求，反映合并口径下经审计后的财务报告业务收入，并根据不同业务收入类型，分别填写明细数据。</w:t>
            </w:r>
          </w:p>
        </w:tc>
      </w:tr>
    </w:tbl>
    <w:p w14:paraId="74D039EE">
      <w:r>
        <w:br w:type="page"/>
      </w:r>
    </w:p>
    <w:tbl>
      <w:tblPr>
        <w:tblStyle w:val="18"/>
        <w:tblW w:w="5000" w:type="pct"/>
        <w:tblInd w:w="0" w:type="dxa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697"/>
        <w:gridCol w:w="1157"/>
        <w:gridCol w:w="1440"/>
        <w:gridCol w:w="249"/>
        <w:gridCol w:w="6631"/>
      </w:tblGrid>
      <w:tr w14:paraId="0125DD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atLeast"/>
        </w:trPr>
        <w:tc>
          <w:tcPr>
            <w:tcW w:w="5000" w:type="pct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B525D4F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Cs w:val="20"/>
                <w:highlight w:val="none"/>
              </w:rPr>
              <w:t>集团范围内专项支出统计表</w:t>
            </w:r>
          </w:p>
        </w:tc>
      </w:tr>
      <w:tr w14:paraId="4EF706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5000" w:type="pct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3F55C0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  <w:lang w:eastAsia="zh-CN"/>
              </w:rPr>
              <w:t>2025</w:t>
            </w: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年度</w:t>
            </w:r>
          </w:p>
        </w:tc>
      </w:tr>
      <w:tr w14:paraId="259DB51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706705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单位编码：</w:t>
            </w:r>
          </w:p>
        </w:tc>
        <w:tc>
          <w:tcPr>
            <w:tcW w:w="1004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F773E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0576228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会所03表附表3-1（合并）</w:t>
            </w:r>
          </w:p>
        </w:tc>
      </w:tr>
      <w:tr w14:paraId="3083391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8BCDF42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单位名称：</w:t>
            </w:r>
          </w:p>
        </w:tc>
        <w:tc>
          <w:tcPr>
            <w:tcW w:w="1004" w:type="pct"/>
            <w:gridSpan w:val="3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95E54EA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2612586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单位：元</w:t>
            </w:r>
          </w:p>
        </w:tc>
      </w:tr>
      <w:tr w14:paraId="01F1B44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296478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项        目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AC57DA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行次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5DD88E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上年数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6FBF17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本年累计数</w:t>
            </w:r>
          </w:p>
        </w:tc>
      </w:tr>
      <w:tr w14:paraId="73917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879263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栏        次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74E17F4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-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4F3E00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1E897DB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</w:tr>
      <w:tr w14:paraId="05316A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29E5ACAD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人才培养支出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58295A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69672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616D777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C8129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66A7F6F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其中：境内培训支出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0F365CF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656A8245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8214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7781B3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ED72015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境外培训支出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E55DF2E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8E4AD2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1EA56C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1D8359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5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vAlign w:val="center"/>
          </w:tcPr>
          <w:p w14:paraId="1BCD833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信息化支出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E23D393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F1A1432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48FAB90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E306A3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29E092B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其中：审计作业系统开发、采购及运维费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B1FC36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42442D47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CDE7FD1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6B98EF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7BDA0E00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内部管理系统开发、采购及运维费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4712308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035589C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9C1FFD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B8A4CF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934A5A4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基础设施采购及运维费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FD24975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B90010C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2CC0E32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0817487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7CB2F18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网络服务费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E04C38F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0EDE47D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11573CCE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615B22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3780701C">
            <w:pPr>
              <w:widowControl/>
              <w:jc w:val="left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 xml:space="preserve">        信息安全合规类费用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1A425D3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3EDD2091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CEE7584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43CE0EE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2F64554B">
            <w:pPr>
              <w:widowControl/>
              <w:jc w:val="center"/>
              <w:rPr>
                <w:rFonts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b/>
                <w:bCs/>
                <w:color w:val="000000"/>
                <w:kern w:val="0"/>
                <w:sz w:val="18"/>
                <w:szCs w:val="18"/>
              </w:rPr>
              <w:t>合   计</w:t>
            </w:r>
          </w:p>
        </w:tc>
        <w:tc>
          <w:tcPr>
            <w:tcW w:w="40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C0C0C0"/>
            <w:noWrap/>
            <w:vAlign w:val="center"/>
          </w:tcPr>
          <w:p w14:paraId="6A7B6259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18"/>
                <w:szCs w:val="18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596" w:type="pct"/>
            <w:gridSpan w:val="2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574714F8"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  <w:tc>
          <w:tcPr>
            <w:tcW w:w="2338" w:type="pct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shd w:val="clear" w:color="000000" w:fill="FFFFFF"/>
            <w:noWrap/>
            <w:vAlign w:val="center"/>
          </w:tcPr>
          <w:p w14:paraId="7F289D9A">
            <w:pPr>
              <w:widowControl/>
              <w:jc w:val="right"/>
              <w:rPr>
                <w:rFonts w:ascii="宋体" w:hAnsi="宋体" w:cs="宋体"/>
                <w:color w:val="000000"/>
                <w:kern w:val="0"/>
                <w:sz w:val="22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2"/>
              </w:rPr>
              <w:t>　</w:t>
            </w:r>
          </w:p>
        </w:tc>
      </w:tr>
      <w:tr w14:paraId="5BD91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00" w:hRule="atLeast"/>
        </w:trPr>
        <w:tc>
          <w:tcPr>
            <w:tcW w:w="5000" w:type="pct"/>
            <w:gridSpan w:val="5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66501EFD">
            <w:pPr>
              <w:widowControl/>
              <w:jc w:val="left"/>
              <w:rPr>
                <w:rFonts w:ascii="宋体" w:hAnsi="宋体" w:cs="宋体"/>
                <w:color w:val="ED4014"/>
                <w:kern w:val="0"/>
                <w:sz w:val="18"/>
                <w:szCs w:val="18"/>
                <w:highlight w:val="none"/>
              </w:rPr>
            </w:pPr>
            <w:r>
              <w:rPr>
                <w:rFonts w:hint="eastAsia" w:ascii="宋体" w:hAnsi="宋体" w:cs="宋体"/>
                <w:kern w:val="0"/>
                <w:sz w:val="18"/>
                <w:szCs w:val="18"/>
                <w:highlight w:val="none"/>
              </w:rPr>
              <w:t>注：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>*请集团所(含总所)填写根据合并财务报表等相关企业会计准则的确认、计量和列报要求，反映合并口径下人才培养支出和信息化支出金额。</w:t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br w:type="textWrapping"/>
            </w:r>
            <w:r>
              <w:rPr>
                <w:rFonts w:ascii="宋体" w:hAnsi="宋体" w:cs="宋体"/>
                <w:kern w:val="0"/>
                <w:sz w:val="18"/>
                <w:szCs w:val="18"/>
                <w:highlight w:val="none"/>
              </w:rPr>
              <w:t xml:space="preserve">    *请仔细阅读指标口径后，根据指标口径进行填写。具体指标口径说明请点击如下链接下载：</w:t>
            </w:r>
          </w:p>
        </w:tc>
      </w:tr>
      <w:tr w14:paraId="76E92AC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20" w:hRule="atLeast"/>
        </w:trPr>
        <w:tc>
          <w:tcPr>
            <w:tcW w:w="1657" w:type="pct"/>
            <w:tcBorders>
              <w:top w:val="nil"/>
              <w:left w:val="single" w:color="auto" w:sz="4" w:space="0"/>
              <w:bottom w:val="single" w:color="000000" w:sz="4" w:space="0"/>
              <w:right w:val="single" w:color="D4D4D4" w:sz="4" w:space="0"/>
            </w:tcBorders>
            <w:shd w:val="clear" w:color="000000" w:fill="FFFFFF"/>
            <w:vAlign w:val="center"/>
          </w:tcPr>
          <w:p w14:paraId="57BFC74E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人才培养支出口径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_说明</w:t>
            </w:r>
          </w:p>
        </w:tc>
        <w:tc>
          <w:tcPr>
            <w:tcW w:w="916" w:type="pct"/>
            <w:gridSpan w:val="2"/>
            <w:tcBorders>
              <w:top w:val="nil"/>
              <w:left w:val="nil"/>
              <w:bottom w:val="single" w:color="000000" w:sz="4" w:space="0"/>
              <w:right w:val="single" w:color="auto" w:sz="4" w:space="0"/>
            </w:tcBorders>
            <w:shd w:val="clear" w:color="000000" w:fill="FFFFFF"/>
            <w:vAlign w:val="center"/>
          </w:tcPr>
          <w:p w14:paraId="427B2C4C">
            <w:pPr>
              <w:widowControl/>
              <w:jc w:val="center"/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</w:p>
        </w:tc>
        <w:tc>
          <w:tcPr>
            <w:tcW w:w="2425" w:type="pct"/>
            <w:gridSpan w:val="2"/>
            <w:tcBorders>
              <w:top w:val="nil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000000" w:fill="FFFFFF"/>
            <w:vAlign w:val="center"/>
          </w:tcPr>
          <w:p w14:paraId="1CC8D6C4">
            <w:pPr>
              <w:widowControl/>
              <w:jc w:val="center"/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</w:pPr>
            <w:r>
              <w:rPr>
                <w:rFonts w:hint="eastAsia"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信息化支出口径</w:t>
            </w:r>
            <w:r>
              <w:rPr>
                <w:rFonts w:ascii="宋体" w:hAnsi="宋体" w:cs="宋体"/>
                <w:kern w:val="0"/>
                <w:sz w:val="30"/>
                <w:szCs w:val="30"/>
                <w:highlight w:val="none"/>
                <w:u w:val="single"/>
              </w:rPr>
              <w:t>_说明</w:t>
            </w:r>
          </w:p>
        </w:tc>
      </w:tr>
    </w:tbl>
    <w:p w14:paraId="0E3E01CD">
      <w:pPr>
        <w:sectPr>
          <w:pgSz w:w="16838" w:h="11906" w:orient="landscape"/>
          <w:pgMar w:top="1474" w:right="1440" w:bottom="1474" w:left="1440" w:header="851" w:footer="992" w:gutter="0"/>
          <w:cols w:space="425" w:num="1"/>
          <w:docGrid w:type="linesAndChars" w:linePitch="312" w:charSpace="0"/>
        </w:sectPr>
      </w:pPr>
    </w:p>
    <w:p w14:paraId="2348765A">
      <w:pPr>
        <w:tabs>
          <w:tab w:val="left" w:pos="6000"/>
        </w:tabs>
        <w:spacing w:line="600" w:lineRule="exact"/>
      </w:pPr>
      <w:r>
        <w:rPr>
          <w:rFonts w:ascii="Times New Roman" w:hAnsi="Times New Roman" w:eastAsia="仿宋_GB2312"/>
          <w:sz w:val="32"/>
          <w:szCs w:val="32"/>
        </w:rPr>
        <w:t xml:space="preserve"> </w:t>
      </w:r>
    </w:p>
    <w:p w14:paraId="3FEA8434"/>
    <w:p w14:paraId="0056D9E2">
      <w:pPr>
        <w:ind w:right="-176" w:rightChars="-84"/>
        <w:jc w:val="center"/>
        <w:rPr>
          <w:rFonts w:ascii="华文中宋" w:hAnsi="华文中宋" w:eastAsia="华文中宋"/>
          <w:sz w:val="36"/>
          <w:szCs w:val="36"/>
        </w:rPr>
      </w:pPr>
      <w:r>
        <w:rPr>
          <w:rFonts w:ascii="华文中宋" w:hAnsi="华文中宋" w:eastAsia="华文中宋"/>
          <w:sz w:val="36"/>
          <w:szCs w:val="36"/>
        </w:rPr>
        <w:t>会计师事务所财务报表审核公式</w:t>
      </w:r>
    </w:p>
    <w:p w14:paraId="7958D3C9">
      <w:pPr>
        <w:ind w:right="-176" w:rightChars="-84"/>
        <w:jc w:val="center"/>
        <w:rPr>
          <w:rFonts w:ascii="华文中宋" w:hAnsi="华文中宋" w:eastAsia="华文中宋"/>
          <w:sz w:val="36"/>
          <w:szCs w:val="36"/>
        </w:rPr>
      </w:pPr>
    </w:p>
    <w:p w14:paraId="59DDC405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一</w:t>
      </w:r>
      <w:r>
        <w:rPr>
          <w:rFonts w:ascii="黑体" w:hAnsi="黑体" w:eastAsia="黑体"/>
          <w:sz w:val="32"/>
          <w:szCs w:val="32"/>
        </w:rPr>
        <w:t>、事务所</w:t>
      </w:r>
      <w:r>
        <w:rPr>
          <w:rFonts w:hint="eastAsia" w:ascii="黑体" w:hAnsi="黑体" w:eastAsia="黑体"/>
          <w:sz w:val="32"/>
          <w:szCs w:val="32"/>
        </w:rPr>
        <w:t>基础信息</w:t>
      </w:r>
      <w:r>
        <w:rPr>
          <w:rFonts w:ascii="黑体" w:hAnsi="黑体" w:eastAsia="黑体"/>
          <w:sz w:val="32"/>
          <w:szCs w:val="32"/>
        </w:rPr>
        <w:t>表</w:t>
      </w:r>
    </w:p>
    <w:p w14:paraId="3FEC6A13"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=2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5行+6行</w:t>
      </w:r>
    </w:p>
    <w:p w14:paraId="663DEACE"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6行≥7行+8行</w:t>
      </w:r>
    </w:p>
    <w:p w14:paraId="7BCE4A96"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11行≥12行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…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15行</w:t>
      </w:r>
    </w:p>
    <w:p w14:paraId="63110304"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9行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10行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11行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6行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7行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8行</w:t>
      </w:r>
    </w:p>
    <w:p w14:paraId="0A5F139F">
      <w:pPr>
        <w:numPr>
          <w:ilvl w:val="0"/>
          <w:numId w:val="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21行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22行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…</w:t>
      </w:r>
      <w:r>
        <w:rPr>
          <w:rFonts w:ascii="Times New Roman" w:hAnsi="Times New Roman" w:eastAsia="仿宋_GB2312"/>
          <w:sz w:val="32"/>
          <w:szCs w:val="32"/>
        </w:rPr>
        <w:t>+</w:t>
      </w:r>
      <w:r>
        <w:rPr>
          <w:rFonts w:hint="eastAsia" w:ascii="Times New Roman" w:hAnsi="Times New Roman" w:eastAsia="仿宋_GB2312"/>
          <w:sz w:val="32"/>
          <w:szCs w:val="32"/>
        </w:rPr>
        <w:t>33行</w:t>
      </w:r>
    </w:p>
    <w:p w14:paraId="3004082E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二、</w:t>
      </w:r>
      <w:r>
        <w:rPr>
          <w:rFonts w:ascii="黑体" w:hAnsi="黑体" w:eastAsia="黑体"/>
          <w:sz w:val="32"/>
          <w:szCs w:val="32"/>
        </w:rPr>
        <w:t>资产负债表</w:t>
      </w:r>
    </w:p>
    <w:p w14:paraId="42EF91B2">
      <w:pPr>
        <w:spacing w:line="600" w:lineRule="exact"/>
        <w:ind w:firstLine="643" w:firstLineChars="200"/>
        <w:rPr>
          <w:rFonts w:ascii="Times New Roman" w:hAnsi="Times New Roman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资产</w:t>
      </w:r>
      <w:r>
        <w:rPr>
          <w:rFonts w:ascii="Times New Roman" w:hAnsi="Times New Roman" w:eastAsia="仿宋_GB2312"/>
          <w:b/>
          <w:sz w:val="32"/>
          <w:szCs w:val="32"/>
        </w:rPr>
        <w:t>部分</w:t>
      </w:r>
    </w:p>
    <w:p w14:paraId="79D81BF2"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2行</w:t>
      </w:r>
      <w:r>
        <w:rPr>
          <w:rFonts w:hint="eastAsia" w:ascii="Times New Roman" w:hAnsi="Times New Roman" w:eastAsia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现金流量表38行</w:t>
      </w:r>
    </w:p>
    <w:p w14:paraId="786C7557"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12行=2行+…+11行</w:t>
      </w:r>
    </w:p>
    <w:p w14:paraId="2A375770">
      <w:pPr>
        <w:numPr>
          <w:ilvl w:val="0"/>
          <w:numId w:val="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29行=14行+…+28行</w:t>
      </w:r>
    </w:p>
    <w:p w14:paraId="4EF4DEA2">
      <w:pPr>
        <w:numPr>
          <w:ilvl w:val="0"/>
          <w:numId w:val="2"/>
        </w:numPr>
        <w:spacing w:line="600" w:lineRule="exact"/>
        <w:ind w:left="0" w:leftChars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37行=12行+29行</w:t>
      </w:r>
    </w:p>
    <w:p w14:paraId="4D19316B">
      <w:pPr>
        <w:spacing w:line="600" w:lineRule="exact"/>
        <w:ind w:firstLine="643" w:firstLineChars="200"/>
        <w:rPr>
          <w:rFonts w:ascii="Times New Roman" w:hAnsi="Times New Roman" w:eastAsia="仿宋_GB2312"/>
          <w:b/>
          <w:sz w:val="32"/>
          <w:szCs w:val="32"/>
        </w:rPr>
      </w:pPr>
      <w:r>
        <w:rPr>
          <w:rFonts w:hint="eastAsia" w:ascii="Times New Roman" w:hAnsi="Times New Roman" w:eastAsia="仿宋_GB2312"/>
          <w:b/>
          <w:sz w:val="32"/>
          <w:szCs w:val="32"/>
        </w:rPr>
        <w:t>负债</w:t>
      </w:r>
      <w:r>
        <w:rPr>
          <w:rFonts w:ascii="Times New Roman" w:hAnsi="Times New Roman" w:eastAsia="仿宋_GB2312"/>
          <w:b/>
          <w:sz w:val="32"/>
          <w:szCs w:val="32"/>
        </w:rPr>
        <w:t>和所有者权益部分</w:t>
      </w:r>
    </w:p>
    <w:p w14:paraId="68CD2FBD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13行=2行+…+12行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5A78A693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16行≥17行+18行</w:t>
      </w:r>
    </w:p>
    <w:p w14:paraId="6E15F2B2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24行=15行+16行+19行+…+23行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4F7CB9D7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25行=13行+24行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01C3E93F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28行≥29行+30行</w:t>
      </w:r>
    </w:p>
    <w:p w14:paraId="59F34C19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36行=27行+28行+31行-32行+33行+34行+35行</w:t>
      </w:r>
    </w:p>
    <w:p w14:paraId="7FB37A34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37行=25行+36行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16E96758">
      <w:pPr>
        <w:numPr>
          <w:ilvl w:val="0"/>
          <w:numId w:val="3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37行资产总计各栏对应相等37行负债和所有者权益总计各栏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180BF818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三</w:t>
      </w:r>
      <w:r>
        <w:rPr>
          <w:rFonts w:ascii="黑体" w:hAnsi="黑体" w:eastAsia="黑体"/>
          <w:sz w:val="32"/>
          <w:szCs w:val="32"/>
        </w:rPr>
        <w:t>、利润表</w:t>
      </w:r>
    </w:p>
    <w:p w14:paraId="69F7F099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1行=业务收入表17行</w:t>
      </w:r>
    </w:p>
    <w:p w14:paraId="1C14677E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2行</w:t>
      </w:r>
      <w:r>
        <w:rPr>
          <w:rFonts w:hint="eastAsia" w:ascii="Times New Roman" w:hAnsi="Times New Roman" w:eastAsia="仿宋_GB2312"/>
          <w:sz w:val="32"/>
          <w:szCs w:val="32"/>
        </w:rPr>
        <w:t>≥</w:t>
      </w: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主营业务成本表27行</w:t>
      </w:r>
    </w:p>
    <w:p w14:paraId="1A82C0DA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kern w:val="0"/>
          <w:sz w:val="32"/>
          <w:szCs w:val="32"/>
          <w:lang w:val="en-US" w:eastAsia="zh-CN" w:bidi="ar"/>
        </w:rPr>
        <w:t>5行=管理费用表37行</w:t>
      </w:r>
    </w:p>
    <w:p w14:paraId="52686C88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7行≥8行-9行</w:t>
      </w:r>
    </w:p>
    <w:p w14:paraId="4F68D0DB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12行≥13行</w:t>
      </w:r>
    </w:p>
    <w:p w14:paraId="002B325B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16行=1行-…-7行-10行+11行+12行+14行+15行</w:t>
      </w:r>
    </w:p>
    <w:p w14:paraId="7BF602F5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18行≥19行</w:t>
      </w:r>
    </w:p>
    <w:p w14:paraId="02DD35C4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20行=16行+17行-18行</w:t>
      </w:r>
    </w:p>
    <w:p w14:paraId="2203F613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22行=20行-21行</w:t>
      </w:r>
    </w:p>
    <w:p w14:paraId="602B0132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22行=23行+24行</w:t>
      </w:r>
    </w:p>
    <w:p w14:paraId="3DFFF3DF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25行=26行+29行</w:t>
      </w:r>
    </w:p>
    <w:p w14:paraId="3DEFDB8F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26行=27行+28行</w:t>
      </w:r>
    </w:p>
    <w:p w14:paraId="435EFE2F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29行=30行+…+34行</w:t>
      </w:r>
    </w:p>
    <w:p w14:paraId="33E8E8D0">
      <w:pPr>
        <w:numPr>
          <w:ilvl w:val="0"/>
          <w:numId w:val="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35行=22行+25行</w:t>
      </w:r>
    </w:p>
    <w:p w14:paraId="227A176A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</w:t>
      </w:r>
      <w:r>
        <w:rPr>
          <w:rFonts w:ascii="黑体" w:hAnsi="黑体" w:eastAsia="黑体"/>
          <w:sz w:val="32"/>
          <w:szCs w:val="32"/>
        </w:rPr>
        <w:t>、业务收入表</w:t>
      </w:r>
    </w:p>
    <w:p w14:paraId="3E5EEB7E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1行=2行＋5行＋…+15行</w:t>
      </w:r>
    </w:p>
    <w:p w14:paraId="59930708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2行=3行＋4行</w:t>
      </w:r>
    </w:p>
    <w:p w14:paraId="3D229A11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3栏=1栏+2栏</w:t>
      </w:r>
    </w:p>
    <w:p w14:paraId="151366B7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6栏=4栏+5栏</w:t>
      </w:r>
    </w:p>
    <w:p w14:paraId="6AD775D7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15行6栏&gt;0，备注必填</w:t>
      </w:r>
    </w:p>
    <w:p w14:paraId="1097047B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16行6栏&gt;0，备注必填</w:t>
      </w:r>
    </w:p>
    <w:p w14:paraId="15984C8C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17行=1行+1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07283B87">
      <w:pPr>
        <w:numPr>
          <w:ilvl w:val="0"/>
          <w:numId w:val="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17行=业务收入表附表（1行-2行-3行-4行）（允许误差在1元以内）</w:t>
      </w:r>
    </w:p>
    <w:p w14:paraId="29856E19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四附、业务收入表附表</w:t>
      </w:r>
    </w:p>
    <w:p w14:paraId="44ECB5DC">
      <w:pPr>
        <w:numPr>
          <w:ilvl w:val="0"/>
          <w:numId w:val="6"/>
        </w:numPr>
        <w:spacing w:line="600" w:lineRule="exact"/>
        <w:ind w:left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1行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与5行差异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仿宋_GB2312" w:hAnsi="仿宋_GB2312" w:eastAsia="仿宋_GB2312" w:cs="仿宋_GB2312"/>
          <w:b w:val="0"/>
          <w:bCs w:val="0"/>
          <w:kern w:val="2"/>
          <w:sz w:val="32"/>
          <w:szCs w:val="32"/>
          <w:lang w:val="en-US" w:eastAsia="zh-CN" w:bidi="ar-SA"/>
        </w:rPr>
        <w:t>5%</w:t>
      </w:r>
    </w:p>
    <w:p w14:paraId="1BE94F1A">
      <w:pPr>
        <w:numPr>
          <w:ilvl w:val="0"/>
          <w:numId w:val="6"/>
        </w:numPr>
        <w:spacing w:line="600" w:lineRule="exact"/>
        <w:ind w:left="640"/>
        <w:rPr>
          <w:rFonts w:hint="eastAsia"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7行=8行+9行+10行</w:t>
      </w:r>
    </w:p>
    <w:p w14:paraId="1B09CEEA">
      <w:pPr>
        <w:spacing w:line="600" w:lineRule="exact"/>
        <w:ind w:firstLine="640" w:firstLineChars="200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五</w:t>
      </w:r>
      <w:r>
        <w:rPr>
          <w:rFonts w:ascii="黑体" w:hAnsi="黑体" w:eastAsia="黑体"/>
          <w:sz w:val="32"/>
          <w:szCs w:val="32"/>
        </w:rPr>
        <w:t>、主营业务成本表</w:t>
      </w:r>
    </w:p>
    <w:p w14:paraId="64F2FD72"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1行=2行+3行+4行+5行</w:t>
      </w:r>
    </w:p>
    <w:p w14:paraId="511BBE86"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12行=13行+14行+15行</w:t>
      </w:r>
    </w:p>
    <w:p w14:paraId="78EF3F72"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26行=1行+6行+…+12行+16行+…+25行</w:t>
      </w:r>
    </w:p>
    <w:p w14:paraId="63671338"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Times New Roman" w:hAnsi="Times New Roman" w:eastAsia="仿宋_GB2312"/>
          <w:sz w:val="32"/>
          <w:szCs w:val="32"/>
        </w:rPr>
        <w:t>利润表2行</w:t>
      </w:r>
    </w:p>
    <w:p w14:paraId="588D20AA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六</w:t>
      </w:r>
      <w:r>
        <w:rPr>
          <w:rFonts w:ascii="黑体" w:hAnsi="黑体" w:eastAsia="黑体"/>
          <w:sz w:val="32"/>
          <w:szCs w:val="32"/>
        </w:rPr>
        <w:t>、管理费用表</w:t>
      </w:r>
    </w:p>
    <w:p w14:paraId="37CA5796"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1行=2行+3行+4行+5行</w:t>
      </w:r>
    </w:p>
    <w:p w14:paraId="7AEDA0BF"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14行=15行+16行+17行</w:t>
      </w:r>
    </w:p>
    <w:p w14:paraId="055FBB81"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30行=31行+32行</w:t>
      </w:r>
    </w:p>
    <w:p w14:paraId="5CD33C86">
      <w:pPr>
        <w:numPr>
          <w:ilvl w:val="0"/>
          <w:numId w:val="8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37行=1行+6行+…+14行+18行+19行+20行+…+30行+33行+…+3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18F8127D">
      <w:pPr>
        <w:numPr>
          <w:ilvl w:val="0"/>
          <w:numId w:val="7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</w:t>
      </w:r>
      <w:r>
        <w:rPr>
          <w:rFonts w:hint="eastAsia" w:ascii="仿宋_GB2312" w:hAnsi="Times New Roman" w:eastAsia="仿宋_GB2312"/>
          <w:sz w:val="32"/>
          <w:szCs w:val="32"/>
        </w:rPr>
        <w:t>≤</w:t>
      </w:r>
      <w:r>
        <w:rPr>
          <w:rFonts w:hint="eastAsia" w:ascii="Times New Roman" w:hAnsi="Times New Roman" w:eastAsia="仿宋_GB2312"/>
          <w:sz w:val="32"/>
          <w:szCs w:val="32"/>
        </w:rPr>
        <w:t>利润表5行</w:t>
      </w:r>
    </w:p>
    <w:p w14:paraId="7EDDD26A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ascii="黑体" w:hAnsi="黑体" w:eastAsia="黑体"/>
          <w:sz w:val="32"/>
          <w:szCs w:val="32"/>
        </w:rPr>
        <w:t>七、</w:t>
      </w:r>
      <w:r>
        <w:rPr>
          <w:rFonts w:hint="eastAsia" w:ascii="黑体" w:hAnsi="黑体" w:eastAsia="黑体"/>
          <w:sz w:val="32"/>
          <w:szCs w:val="32"/>
        </w:rPr>
        <w:t>专项支出统计表</w:t>
      </w:r>
    </w:p>
    <w:p w14:paraId="733100BE"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 1行=2行+3行</w:t>
      </w:r>
    </w:p>
    <w:p w14:paraId="379F78ED"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 4行=5行+6行+7行+8行+9行</w:t>
      </w:r>
    </w:p>
    <w:p w14:paraId="21404A76"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  10行=1行+4行</w:t>
      </w:r>
    </w:p>
    <w:p w14:paraId="477A7999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八、</w:t>
      </w:r>
      <w:r>
        <w:rPr>
          <w:rFonts w:ascii="黑体" w:hAnsi="黑体" w:eastAsia="黑体"/>
          <w:sz w:val="32"/>
          <w:szCs w:val="32"/>
        </w:rPr>
        <w:t>缴纳各税款情况表</w:t>
      </w:r>
    </w:p>
    <w:p w14:paraId="1AE2D1A0"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行=</w:t>
      </w:r>
      <w:r>
        <w:rPr>
          <w:rFonts w:ascii="Times New Roman" w:hAnsi="Times New Roman" w:eastAsia="仿宋_GB2312"/>
          <w:sz w:val="32"/>
          <w:szCs w:val="32"/>
        </w:rPr>
        <w:t>7</w:t>
      </w:r>
      <w:r>
        <w:rPr>
          <w:rFonts w:hint="eastAsia" w:ascii="Times New Roman" w:hAnsi="Times New Roman" w:eastAsia="仿宋_GB2312"/>
          <w:sz w:val="32"/>
          <w:szCs w:val="32"/>
        </w:rPr>
        <w:t>行+</w:t>
      </w:r>
      <w:r>
        <w:rPr>
          <w:rFonts w:ascii="Times New Roman" w:hAnsi="Times New Roman" w:eastAsia="仿宋_GB2312"/>
          <w:sz w:val="32"/>
          <w:szCs w:val="32"/>
        </w:rPr>
        <w:t>8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182B0FDD">
      <w:pPr>
        <w:numPr>
          <w:ilvl w:val="0"/>
          <w:numId w:val="9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行=1行+……+6行+9行+10行+……+1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7BD5FB39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九</w:t>
      </w:r>
      <w:r>
        <w:rPr>
          <w:rFonts w:ascii="黑体" w:hAnsi="黑体" w:eastAsia="黑体"/>
          <w:sz w:val="32"/>
          <w:szCs w:val="32"/>
        </w:rPr>
        <w:t>、现金流量表</w:t>
      </w:r>
    </w:p>
    <w:p w14:paraId="10CFFBE0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5行=2行+3行+4行</w:t>
      </w:r>
    </w:p>
    <w:p w14:paraId="3901966D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10行=6行+7行+8行+9行</w:t>
      </w:r>
    </w:p>
    <w:p w14:paraId="798391BD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11行=5行-10行</w:t>
      </w:r>
    </w:p>
    <w:p w14:paraId="23E891CA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18行=13行+…+17行</w:t>
      </w:r>
    </w:p>
    <w:p w14:paraId="2A5EC16B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23行=19行+…+22行</w:t>
      </w:r>
    </w:p>
    <w:p w14:paraId="5CDDA7B9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24行=18行-23行</w:t>
      </w:r>
    </w:p>
    <w:p w14:paraId="7600F405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29行=26行+27行+28行</w:t>
      </w:r>
    </w:p>
    <w:p w14:paraId="74FA5BD9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33行=30行+…+32行</w:t>
      </w:r>
    </w:p>
    <w:p w14:paraId="0E123301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34行=29行-33行</w:t>
      </w:r>
    </w:p>
    <w:p w14:paraId="13F9E8F8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36行=11行+24行+34行+35行</w:t>
      </w:r>
    </w:p>
    <w:p w14:paraId="45B5DF44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38行=36行+37行</w:t>
      </w:r>
    </w:p>
    <w:p w14:paraId="7777069C">
      <w:pPr>
        <w:numPr>
          <w:ilvl w:val="0"/>
          <w:numId w:val="10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37行本期金额=38行上期金额</w:t>
      </w:r>
    </w:p>
    <w:p w14:paraId="48B3DCBB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十、</w:t>
      </w:r>
      <w:r>
        <w:rPr>
          <w:rFonts w:ascii="黑体" w:hAnsi="黑体" w:eastAsia="黑体"/>
          <w:sz w:val="32"/>
          <w:szCs w:val="32"/>
        </w:rPr>
        <w:t>所有者权益变动表</w:t>
      </w:r>
    </w:p>
    <w:p w14:paraId="067E9F75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1行本年数=23行上年数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2CB9D498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5行=1行+2行+3行+4行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2D3B16E0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6行=7行+8行+13行+17行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5C076FF0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8行=9行+…+12行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41495938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10列=1列+…+5列-6列+7列+8列+9列</w:t>
      </w:r>
    </w:p>
    <w:p w14:paraId="245F99D6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13行=14行+15行+16行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0FF83F88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17行=18行+…+22行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5A8C3BD7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20列=11列+…+15列-16列+17列+18列+19列</w:t>
      </w:r>
    </w:p>
    <w:p w14:paraId="50D25302">
      <w:pPr>
        <w:numPr>
          <w:ilvl w:val="0"/>
          <w:numId w:val="11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23行=5行+6行</w:t>
      </w:r>
      <w:r>
        <w:rPr>
          <w:rFonts w:hint="eastAsia" w:ascii="Times New Roman" w:hAnsi="Times New Roman" w:eastAsia="仿宋_GB2312"/>
          <w:sz w:val="32"/>
          <w:szCs w:val="32"/>
        </w:rPr>
        <w:tab/>
      </w:r>
    </w:p>
    <w:p w14:paraId="6C4F36C0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十一、</w:t>
      </w:r>
      <w:r>
        <w:rPr>
          <w:rFonts w:ascii="黑体" w:hAnsi="黑体" w:eastAsia="黑体"/>
          <w:sz w:val="32"/>
          <w:szCs w:val="32"/>
        </w:rPr>
        <w:t>事务所主要指标变动表</w:t>
      </w:r>
    </w:p>
    <w:p w14:paraId="6C0F6CB4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2行=业务收入表17行</w:t>
      </w:r>
    </w:p>
    <w:p w14:paraId="2350E878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3行=业务收入表1行</w:t>
      </w:r>
    </w:p>
    <w:p w14:paraId="3B75DD05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4行=业务收入表16行</w:t>
      </w:r>
    </w:p>
    <w:p w14:paraId="1B9C044A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5行=业务收入表附表7行</w:t>
      </w:r>
    </w:p>
    <w:p w14:paraId="0B531B20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6行=主营业务成本表26行+管理费用表37行</w:t>
      </w:r>
    </w:p>
    <w:p w14:paraId="48F5F1FA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7行=主营业务成本表1行+管理费用表1行</w:t>
      </w:r>
    </w:p>
    <w:p w14:paraId="79DC22B2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8行=主营业务成本表7行+管理费用表7行</w:t>
      </w:r>
    </w:p>
    <w:p w14:paraId="085281A7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9行=主营业务成本表16行+管理费用表18行</w:t>
      </w:r>
    </w:p>
    <w:p w14:paraId="3AD0A854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10行=主营业务成本表17行+管理费用表19行</w:t>
      </w:r>
    </w:p>
    <w:p w14:paraId="34DDF222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11行=主营业务成本表8行+管理费用表8行</w:t>
      </w:r>
    </w:p>
    <w:p w14:paraId="38C97F89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12行=主营业务成本表9行+管理费用表9行</w:t>
      </w:r>
    </w:p>
    <w:p w14:paraId="55F89FD2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13行=主营业务成本表23行+管理费用表26行</w:t>
      </w:r>
    </w:p>
    <w:p w14:paraId="401A4EDE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14行=专项支出统计表1行</w:t>
      </w:r>
    </w:p>
    <w:p w14:paraId="0BD744FA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15行=专项支出统计表4行</w:t>
      </w:r>
    </w:p>
    <w:p w14:paraId="33D77EE8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16行=主营业务成本表25行+管理费用表36行</w:t>
      </w:r>
    </w:p>
    <w:p w14:paraId="76FCD8F6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17行=缴纳各税款情况表1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4AC6C198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18行=缴纳各税款情款况表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221DA820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19行=缴纳各税款情款况表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0BE5D281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21行=资产负债表37行1栏、2栏</w:t>
      </w:r>
    </w:p>
    <w:p w14:paraId="4BE1D64B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22行=资产负债表19行1栏、2栏</w:t>
      </w:r>
    </w:p>
    <w:p w14:paraId="65DE66C3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23行=资产负债表25行3栏、4栏</w:t>
      </w:r>
    </w:p>
    <w:p w14:paraId="56C69395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24行=资产负债表36行3栏、4栏</w:t>
      </w:r>
    </w:p>
    <w:p w14:paraId="413E04A6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26行=事务所基础信息表1行</w:t>
      </w:r>
    </w:p>
    <w:p w14:paraId="2B95041C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27行=事务所基础信息表5行</w:t>
      </w:r>
    </w:p>
    <w:p w14:paraId="432C3CCF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28行=事务所基础信息表2行</w:t>
      </w:r>
    </w:p>
    <w:p w14:paraId="491B318D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29行=事务所基础信息表21行</w:t>
      </w:r>
    </w:p>
    <w:p w14:paraId="09A5C2C5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第3列=第2列-第1列</w:t>
      </w:r>
    </w:p>
    <w:p w14:paraId="4EFFA051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第4列=第3列/第1列</w:t>
      </w:r>
    </w:p>
    <w:p w14:paraId="1DA0F405">
      <w:pPr>
        <w:numPr>
          <w:ilvl w:val="0"/>
          <w:numId w:val="12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第4列&gt;30%（或</w:t>
      </w:r>
      <w:r>
        <w:rPr>
          <w:rFonts w:hint="eastAsia" w:ascii="Times New Roman" w:hAnsi="Times New Roman" w:eastAsia="仿宋_GB2312"/>
          <w:sz w:val="32"/>
          <w:szCs w:val="32"/>
          <w:lang w:val="en-US" w:eastAsia="zh-CN"/>
        </w:rPr>
        <w:t>&lt;</w:t>
      </w:r>
      <w:r>
        <w:rPr>
          <w:rFonts w:hint="eastAsia" w:ascii="Times New Roman" w:hAnsi="Times New Roman" w:eastAsia="仿宋_GB2312"/>
          <w:sz w:val="32"/>
          <w:szCs w:val="32"/>
        </w:rPr>
        <w:t>-30%）时，第5列≠空</w:t>
      </w:r>
    </w:p>
    <w:p w14:paraId="351FA093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十二、集团所合并业务收入表</w:t>
      </w:r>
    </w:p>
    <w:p w14:paraId="62596FA5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=2</w:t>
      </w:r>
      <w:r>
        <w:rPr>
          <w:rFonts w:hint="eastAsia" w:ascii="Times New Roman" w:hAnsi="Times New Roman" w:eastAsia="仿宋_GB2312"/>
          <w:sz w:val="32"/>
          <w:szCs w:val="32"/>
        </w:rPr>
        <w:t>行＋</w:t>
      </w:r>
      <w:r>
        <w:rPr>
          <w:rFonts w:ascii="Times New Roman" w:hAnsi="Times New Roman" w:eastAsia="仿宋_GB2312"/>
          <w:sz w:val="32"/>
          <w:szCs w:val="32"/>
        </w:rPr>
        <w:t>5</w:t>
      </w:r>
      <w:r>
        <w:rPr>
          <w:rFonts w:hint="eastAsia" w:ascii="Times New Roman" w:hAnsi="Times New Roman" w:eastAsia="仿宋_GB2312"/>
          <w:sz w:val="32"/>
          <w:szCs w:val="32"/>
        </w:rPr>
        <w:t>行＋…</w:t>
      </w:r>
      <w:r>
        <w:rPr>
          <w:rFonts w:ascii="Times New Roman" w:hAnsi="Times New Roman" w:eastAsia="仿宋_GB2312"/>
          <w:sz w:val="32"/>
          <w:szCs w:val="32"/>
        </w:rPr>
        <w:t>+15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6BC35CDD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2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=3</w:t>
      </w:r>
      <w:r>
        <w:rPr>
          <w:rFonts w:hint="eastAsia" w:ascii="Times New Roman" w:hAnsi="Times New Roman" w:eastAsia="仿宋_GB2312"/>
          <w:sz w:val="32"/>
          <w:szCs w:val="32"/>
        </w:rPr>
        <w:t>行＋</w:t>
      </w:r>
      <w:r>
        <w:rPr>
          <w:rFonts w:ascii="Times New Roman" w:hAnsi="Times New Roman" w:eastAsia="仿宋_GB2312"/>
          <w:sz w:val="32"/>
          <w:szCs w:val="32"/>
        </w:rPr>
        <w:t>4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21C77339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=1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+2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 w14:paraId="542FE437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=4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+5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 w14:paraId="3C673533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15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&gt;0</w:t>
      </w:r>
      <w:r>
        <w:rPr>
          <w:rFonts w:hint="eastAsia" w:ascii="Times New Roman" w:hAnsi="Times New Roman" w:eastAsia="仿宋_GB2312"/>
          <w:sz w:val="32"/>
          <w:szCs w:val="32"/>
        </w:rPr>
        <w:t>，备注必填</w:t>
      </w:r>
    </w:p>
    <w:p w14:paraId="0D8A2E34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6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  <w:r>
        <w:rPr>
          <w:rFonts w:ascii="Times New Roman" w:hAnsi="Times New Roman" w:eastAsia="仿宋_GB2312"/>
          <w:sz w:val="32"/>
          <w:szCs w:val="32"/>
        </w:rPr>
        <w:t>&gt;0</w:t>
      </w:r>
      <w:r>
        <w:rPr>
          <w:rFonts w:hint="eastAsia" w:ascii="Times New Roman" w:hAnsi="Times New Roman" w:eastAsia="仿宋_GB2312"/>
          <w:sz w:val="32"/>
          <w:szCs w:val="32"/>
        </w:rPr>
        <w:t>，备注必填</w:t>
      </w:r>
    </w:p>
    <w:p w14:paraId="216F43B6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</w:t>
      </w:r>
      <w:r>
        <w:rPr>
          <w:rFonts w:ascii="Times New Roman" w:hAnsi="Times New Roman" w:eastAsia="仿宋_GB2312"/>
          <w:sz w:val="32"/>
          <w:szCs w:val="32"/>
        </w:rPr>
        <w:t>17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=16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+1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</w:p>
    <w:p w14:paraId="56FA790B">
      <w:pPr>
        <w:pStyle w:val="40"/>
        <w:numPr>
          <w:ilvl w:val="0"/>
          <w:numId w:val="13"/>
        </w:numPr>
        <w:spacing w:line="600" w:lineRule="exact"/>
        <w:ind w:firstLineChars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 xml:space="preserve"> 18行=17行</w:t>
      </w:r>
    </w:p>
    <w:p w14:paraId="57E8AFCF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十三、集团范围内专项支出统计表</w:t>
      </w:r>
    </w:p>
    <w:p w14:paraId="3B28544B"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1.  1行=2行+3行</w:t>
      </w:r>
    </w:p>
    <w:p w14:paraId="4D10BC50"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2.  4行=5行+6行+7行+8行+9行</w:t>
      </w:r>
    </w:p>
    <w:p w14:paraId="4BA4C41C">
      <w:pPr>
        <w:spacing w:line="600" w:lineRule="exact"/>
        <w:ind w:left="64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3.  10行=1行+4行</w:t>
      </w:r>
    </w:p>
    <w:p w14:paraId="474AB04B">
      <w:pPr>
        <w:spacing w:line="600" w:lineRule="exact"/>
        <w:ind w:left="643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</w:rPr>
        <w:t>十四、</w:t>
      </w:r>
      <w:r>
        <w:rPr>
          <w:rFonts w:ascii="黑体" w:hAnsi="黑体" w:eastAsia="黑体"/>
          <w:sz w:val="32"/>
          <w:szCs w:val="32"/>
        </w:rPr>
        <w:t>各表之间的勾稽关系</w:t>
      </w:r>
    </w:p>
    <w:p w14:paraId="198E1BF1">
      <w:pPr>
        <w:spacing w:line="600" w:lineRule="exact"/>
        <w:ind w:firstLine="640" w:firstLineChars="200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ascii="Times New Roman" w:hAnsi="Times New Roman" w:eastAsia="仿宋_GB2312"/>
          <w:sz w:val="32"/>
          <w:szCs w:val="32"/>
        </w:rPr>
        <w:t>（一）</w:t>
      </w:r>
      <w:r>
        <w:rPr>
          <w:rFonts w:hint="eastAsia" w:ascii="Times New Roman" w:hAnsi="Times New Roman" w:eastAsia="仿宋_GB2312"/>
          <w:sz w:val="32"/>
          <w:szCs w:val="32"/>
        </w:rPr>
        <w:t>所有者权益</w:t>
      </w:r>
      <w:r>
        <w:rPr>
          <w:rFonts w:ascii="Times New Roman" w:hAnsi="Times New Roman" w:eastAsia="仿宋_GB2312"/>
          <w:sz w:val="32"/>
          <w:szCs w:val="32"/>
        </w:rPr>
        <w:t>变动表与其他各表之间的勾稽关系</w:t>
      </w:r>
    </w:p>
    <w:p w14:paraId="51368EDF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1行19栏=资产负债表未分配利润上年数</w:t>
      </w:r>
    </w:p>
    <w:p w14:paraId="11E8E24F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23行19栏=资产负债表未分配利润本年数</w:t>
      </w:r>
    </w:p>
    <w:p w14:paraId="0FA08FFA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5行11栏</w:t>
      </w:r>
      <w:r>
        <w:rPr>
          <w:rFonts w:ascii="Times New Roman" w:hAnsi="Times New Roman" w:eastAsia="仿宋_GB2312"/>
          <w:sz w:val="32"/>
          <w:szCs w:val="32"/>
        </w:rPr>
        <w:t>=</w:t>
      </w:r>
      <w:r>
        <w:rPr>
          <w:rFonts w:hint="eastAsia" w:ascii="Times New Roman" w:hAnsi="Times New Roman" w:eastAsia="仿宋_GB2312"/>
          <w:sz w:val="32"/>
          <w:szCs w:val="32"/>
        </w:rPr>
        <w:t>资产负债表</w:t>
      </w:r>
      <w:r>
        <w:rPr>
          <w:rFonts w:ascii="Times New Roman" w:hAnsi="Times New Roman" w:eastAsia="仿宋_GB2312"/>
          <w:sz w:val="32"/>
          <w:szCs w:val="32"/>
        </w:rPr>
        <w:t>27</w:t>
      </w:r>
      <w:r>
        <w:rPr>
          <w:rFonts w:hint="eastAsia" w:ascii="Times New Roman" w:hAnsi="Times New Roman" w:eastAsia="仿宋_GB2312"/>
          <w:sz w:val="32"/>
          <w:szCs w:val="32"/>
        </w:rPr>
        <w:t>行</w:t>
      </w:r>
      <w:r>
        <w:rPr>
          <w:rFonts w:ascii="Times New Roman" w:hAnsi="Times New Roman" w:eastAsia="仿宋_GB2312"/>
          <w:sz w:val="32"/>
          <w:szCs w:val="32"/>
        </w:rPr>
        <w:t>3</w:t>
      </w:r>
      <w:r>
        <w:rPr>
          <w:rFonts w:hint="eastAsia" w:ascii="Times New Roman" w:hAnsi="Times New Roman" w:eastAsia="仿宋_GB2312"/>
          <w:sz w:val="32"/>
          <w:szCs w:val="32"/>
        </w:rPr>
        <w:t>栏</w:t>
      </w:r>
    </w:p>
    <w:p w14:paraId="3D7E1F69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5行的12栏+13栏+14栏=资产负债表28行3栏</w:t>
      </w:r>
    </w:p>
    <w:p w14:paraId="61359088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5行12栏=资产负债表29行3栏</w:t>
      </w:r>
    </w:p>
    <w:p w14:paraId="14FEA945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5行13栏=资产负债表30行3栏</w:t>
      </w:r>
    </w:p>
    <w:p w14:paraId="201F53DB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5行15栏=资产负债表31行3栏</w:t>
      </w:r>
    </w:p>
    <w:p w14:paraId="7E8F76E7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5行16栏=资产负债表32行3栏</w:t>
      </w:r>
    </w:p>
    <w:p w14:paraId="3FBD43F7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5行17栏=资产负债表33行3栏</w:t>
      </w:r>
    </w:p>
    <w:p w14:paraId="25DCF672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5行18栏=资产负债表34行3栏</w:t>
      </w:r>
    </w:p>
    <w:p w14:paraId="5262CD19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5行19栏=资产负债表35行3栏</w:t>
      </w:r>
    </w:p>
    <w:p w14:paraId="6545F748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5行20栏=资产负债表36行3栏</w:t>
      </w:r>
    </w:p>
    <w:p w14:paraId="43CF6F84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23行的12栏+13栏+14栏=资产负债表28行4栏</w:t>
      </w:r>
    </w:p>
    <w:p w14:paraId="5071C02C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23行11栏=资产负债表27行4栏</w:t>
      </w:r>
    </w:p>
    <w:p w14:paraId="30BAA310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23行12栏=资产负债表29行4栏</w:t>
      </w:r>
    </w:p>
    <w:p w14:paraId="7B3F5AFF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23行13栏=资产负债表30行4栏</w:t>
      </w:r>
    </w:p>
    <w:p w14:paraId="0FD728A4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23行15栏=资产负债表31行4栏</w:t>
      </w:r>
    </w:p>
    <w:p w14:paraId="725C8807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23行16栏=资产负债表32行4栏</w:t>
      </w:r>
    </w:p>
    <w:p w14:paraId="77DF7145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23行17栏=资产负债表33行4栏</w:t>
      </w:r>
    </w:p>
    <w:p w14:paraId="44ADB8EC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23行18栏=资产负债表34行4栏</w:t>
      </w:r>
    </w:p>
    <w:p w14:paraId="0A6D14D3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23行19栏=资产负债表35行4栏</w:t>
      </w:r>
    </w:p>
    <w:p w14:paraId="2EE167ED">
      <w:pPr>
        <w:numPr>
          <w:ilvl w:val="0"/>
          <w:numId w:val="14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23行20栏=资产负债表36行4栏</w:t>
      </w:r>
    </w:p>
    <w:p w14:paraId="0242426D">
      <w:pPr>
        <w:spacing w:line="600" w:lineRule="exact"/>
        <w:ind w:firstLine="640" w:firstLineChars="200"/>
        <w:outlineLvl w:val="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（二）事务所基础信息表与业务收入表的之间的勾稽关系</w:t>
      </w:r>
    </w:p>
    <w:p w14:paraId="21370A37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如果业务收入表2行&gt;0 则事务所基础信息表22行&gt;0</w:t>
      </w:r>
    </w:p>
    <w:p w14:paraId="4CC7CD16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如果业务收入表5行&gt;0 则事务所基础信息表23行&gt;0</w:t>
      </w:r>
    </w:p>
    <w:p w14:paraId="07000BA8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如果业务收入表6行&gt;0 则事务所基础信息表24行&gt;0</w:t>
      </w:r>
    </w:p>
    <w:p w14:paraId="5658AA60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如果业务收入表7行&gt;0 则事务所基础信息表25行&gt;0</w:t>
      </w:r>
    </w:p>
    <w:p w14:paraId="132710D5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如果业务收入表8行&gt;0 则事务所基础信息表26行&gt;0</w:t>
      </w:r>
    </w:p>
    <w:p w14:paraId="5A5E0939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如果业务收入表9行&gt;0 则事务所基础信息表27行&gt;0</w:t>
      </w:r>
    </w:p>
    <w:p w14:paraId="0DCD8E08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如果业务收入表10行&gt;0 则事务所基础信息表28行&gt;0</w:t>
      </w:r>
    </w:p>
    <w:p w14:paraId="56B8CFAA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如果业务收入表11行&gt;0 则事务所基础信息表29行&gt;0</w:t>
      </w:r>
    </w:p>
    <w:p w14:paraId="7715F8CE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如果业务收入表12行&gt;0 则事务所基础信息表30行&gt;0</w:t>
      </w:r>
    </w:p>
    <w:p w14:paraId="664379DC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如果业务收入表13行&gt;0 则事务所基础信息表31行&gt;0</w:t>
      </w:r>
    </w:p>
    <w:p w14:paraId="368C7D16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如果业务收入表14行&gt;0 则事务所基础信息表32行&gt;0</w:t>
      </w:r>
    </w:p>
    <w:p w14:paraId="52ADDA8F">
      <w:pPr>
        <w:numPr>
          <w:ilvl w:val="0"/>
          <w:numId w:val="15"/>
        </w:numPr>
        <w:spacing w:line="600" w:lineRule="exact"/>
        <w:ind w:left="0" w:firstLine="640" w:firstLineChars="200"/>
        <w:rPr>
          <w:rFonts w:ascii="Times New Roman" w:hAnsi="Times New Roman" w:eastAsia="仿宋_GB2312"/>
          <w:sz w:val="32"/>
          <w:szCs w:val="32"/>
        </w:rPr>
      </w:pPr>
      <w:r>
        <w:rPr>
          <w:rFonts w:hint="eastAsia" w:ascii="Times New Roman" w:hAnsi="Times New Roman" w:eastAsia="仿宋_GB2312"/>
          <w:sz w:val="32"/>
          <w:szCs w:val="32"/>
        </w:rPr>
        <w:t>如果业务收入表15行&gt;0 则事务所基础信息表33行&gt;0</w:t>
      </w:r>
    </w:p>
    <w:p w14:paraId="719284D5">
      <w:pPr>
        <w:numPr>
          <w:ilvl w:val="-1"/>
          <w:numId w:val="0"/>
        </w:numPr>
        <w:spacing w:line="600" w:lineRule="exact"/>
        <w:ind w:left="420" w:leftChars="200" w:firstLine="0" w:firstLineChars="0"/>
        <w:rPr>
          <w:rFonts w:ascii="Times New Roman" w:hAnsi="Times New Roman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Arial Unicode MS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Tahoma">
    <w:panose1 w:val="020B0604030504040204"/>
    <w:charset w:val="00"/>
    <w:family w:val="swiss"/>
    <w:pitch w:val="default"/>
    <w:sig w:usb0="E1002EFF" w:usb1="C000605B" w:usb2="00000029" w:usb3="00000000" w:csb0="200101FF" w:csb1="20280000"/>
  </w:font>
  <w:font w:name="Verdana">
    <w:panose1 w:val="020B0604030504040204"/>
    <w:charset w:val="00"/>
    <w:family w:val="swiss"/>
    <w:pitch w:val="default"/>
    <w:sig w:usb0="A10006FF" w:usb1="4000205B" w:usb2="00000010" w:usb3="00000000" w:csb0="2000019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720085817"/>
      <w:docPartObj>
        <w:docPartGallery w:val="autotext"/>
      </w:docPartObj>
    </w:sdtPr>
    <w:sdtEndPr>
      <w:rPr>
        <w:rFonts w:ascii="Times New Roman" w:hAnsi="Times New Roman"/>
        <w:sz w:val="21"/>
        <w:szCs w:val="21"/>
      </w:rPr>
    </w:sdtEndPr>
    <w:sdtContent>
      <w:p w14:paraId="28631CD6">
        <w:pPr>
          <w:pStyle w:val="11"/>
          <w:jc w:val="center"/>
          <w:rPr>
            <w:rFonts w:ascii="Times New Roman" w:hAnsi="Times New Roman"/>
            <w:sz w:val="21"/>
            <w:szCs w:val="21"/>
          </w:rPr>
        </w:pPr>
        <w:r>
          <w:rPr>
            <w:rFonts w:ascii="Times New Roman" w:hAnsi="Times New Roman"/>
            <w:sz w:val="21"/>
            <w:szCs w:val="21"/>
          </w:rPr>
          <w:fldChar w:fldCharType="begin"/>
        </w:r>
        <w:r>
          <w:rPr>
            <w:rFonts w:ascii="Times New Roman" w:hAnsi="Times New Roman"/>
            <w:sz w:val="21"/>
            <w:szCs w:val="21"/>
          </w:rPr>
          <w:instrText xml:space="preserve">PAGE   \* MERGEFORMAT</w:instrText>
        </w:r>
        <w:r>
          <w:rPr>
            <w:rFonts w:ascii="Times New Roman" w:hAnsi="Times New Roman"/>
            <w:sz w:val="21"/>
            <w:szCs w:val="21"/>
          </w:rPr>
          <w:fldChar w:fldCharType="separate"/>
        </w:r>
        <w:r>
          <w:rPr>
            <w:rFonts w:ascii="Times New Roman" w:hAnsi="Times New Roman"/>
            <w:sz w:val="21"/>
            <w:szCs w:val="21"/>
            <w:lang w:val="zh-CN"/>
          </w:rPr>
          <w:t>31</w:t>
        </w:r>
        <w:r>
          <w:rPr>
            <w:rFonts w:ascii="Times New Roman" w:hAnsi="Times New Roman"/>
            <w:sz w:val="21"/>
            <w:szCs w:val="21"/>
          </w:rPr>
          <w:fldChar w:fldCharType="end"/>
        </w:r>
      </w:p>
    </w:sdtContent>
  </w:sdt>
  <w:p w14:paraId="50B80055">
    <w:pPr>
      <w:pStyle w:val="11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88BBADE0"/>
    <w:multiLevelType w:val="multilevel"/>
    <w:tmpl w:val="88BBADE0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">
    <w:nsid w:val="AE467C6A"/>
    <w:multiLevelType w:val="multilevel"/>
    <w:tmpl w:val="AE467C6A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2">
    <w:nsid w:val="BD43C528"/>
    <w:multiLevelType w:val="multilevel"/>
    <w:tmpl w:val="BD43C528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3">
    <w:nsid w:val="BD44A24E"/>
    <w:multiLevelType w:val="multilevel"/>
    <w:tmpl w:val="BD44A24E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4">
    <w:nsid w:val="BDEBD935"/>
    <w:multiLevelType w:val="multilevel"/>
    <w:tmpl w:val="BDEBD93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5">
    <w:nsid w:val="DEB48305"/>
    <w:multiLevelType w:val="multilevel"/>
    <w:tmpl w:val="DEB4830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6">
    <w:nsid w:val="10E47405"/>
    <w:multiLevelType w:val="multilevel"/>
    <w:tmpl w:val="10E47405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7">
    <w:nsid w:val="1ACA53AF"/>
    <w:multiLevelType w:val="singleLevel"/>
    <w:tmpl w:val="1ACA53AF"/>
    <w:lvl w:ilvl="0" w:tentative="0">
      <w:start w:val="1"/>
      <w:numFmt w:val="decimal"/>
      <w:suff w:val="space"/>
      <w:lvlText w:val="%1."/>
      <w:lvlJc w:val="left"/>
    </w:lvl>
  </w:abstractNum>
  <w:abstractNum w:abstractNumId="8">
    <w:nsid w:val="26316142"/>
    <w:multiLevelType w:val="multilevel"/>
    <w:tmpl w:val="26316142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9">
    <w:nsid w:val="30901C6E"/>
    <w:multiLevelType w:val="multilevel"/>
    <w:tmpl w:val="30901C6E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0">
    <w:nsid w:val="3D9F0296"/>
    <w:multiLevelType w:val="multilevel"/>
    <w:tmpl w:val="3D9F0296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1">
    <w:nsid w:val="40CD421A"/>
    <w:multiLevelType w:val="multilevel"/>
    <w:tmpl w:val="40CD421A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2">
    <w:nsid w:val="434C76D8"/>
    <w:multiLevelType w:val="multilevel"/>
    <w:tmpl w:val="434C76D8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3">
    <w:nsid w:val="4E771F74"/>
    <w:multiLevelType w:val="multilevel"/>
    <w:tmpl w:val="4E771F74"/>
    <w:lvl w:ilvl="0" w:tentative="0">
      <w:start w:val="1"/>
      <w:numFmt w:val="decimal"/>
      <w:lvlText w:val="%1."/>
      <w:lvlJc w:val="left"/>
      <w:pPr>
        <w:ind w:left="1697" w:hanging="420"/>
      </w:pPr>
    </w:lvl>
    <w:lvl w:ilvl="1" w:tentative="0">
      <w:start w:val="1"/>
      <w:numFmt w:val="lowerLetter"/>
      <w:lvlText w:val="%2)"/>
      <w:lvlJc w:val="left"/>
      <w:pPr>
        <w:ind w:left="1690" w:hanging="420"/>
      </w:pPr>
    </w:lvl>
    <w:lvl w:ilvl="2" w:tentative="0">
      <w:start w:val="1"/>
      <w:numFmt w:val="lowerRoman"/>
      <w:lvlText w:val="%3."/>
      <w:lvlJc w:val="right"/>
      <w:pPr>
        <w:ind w:left="2110" w:hanging="420"/>
      </w:pPr>
    </w:lvl>
    <w:lvl w:ilvl="3" w:tentative="0">
      <w:start w:val="1"/>
      <w:numFmt w:val="decimal"/>
      <w:lvlText w:val="%4."/>
      <w:lvlJc w:val="left"/>
      <w:pPr>
        <w:ind w:left="2530" w:hanging="420"/>
      </w:pPr>
    </w:lvl>
    <w:lvl w:ilvl="4" w:tentative="0">
      <w:start w:val="1"/>
      <w:numFmt w:val="lowerLetter"/>
      <w:lvlText w:val="%5)"/>
      <w:lvlJc w:val="left"/>
      <w:pPr>
        <w:ind w:left="2950" w:hanging="420"/>
      </w:pPr>
    </w:lvl>
    <w:lvl w:ilvl="5" w:tentative="0">
      <w:start w:val="1"/>
      <w:numFmt w:val="lowerRoman"/>
      <w:lvlText w:val="%6."/>
      <w:lvlJc w:val="right"/>
      <w:pPr>
        <w:ind w:left="3370" w:hanging="420"/>
      </w:pPr>
    </w:lvl>
    <w:lvl w:ilvl="6" w:tentative="0">
      <w:start w:val="1"/>
      <w:numFmt w:val="decimal"/>
      <w:lvlText w:val="%7."/>
      <w:lvlJc w:val="left"/>
      <w:pPr>
        <w:ind w:left="3790" w:hanging="420"/>
      </w:pPr>
    </w:lvl>
    <w:lvl w:ilvl="7" w:tentative="0">
      <w:start w:val="1"/>
      <w:numFmt w:val="lowerLetter"/>
      <w:lvlText w:val="%8)"/>
      <w:lvlJc w:val="left"/>
      <w:pPr>
        <w:ind w:left="4210" w:hanging="420"/>
      </w:pPr>
    </w:lvl>
    <w:lvl w:ilvl="8" w:tentative="0">
      <w:start w:val="1"/>
      <w:numFmt w:val="lowerRoman"/>
      <w:lvlText w:val="%9."/>
      <w:lvlJc w:val="right"/>
      <w:pPr>
        <w:ind w:left="4630" w:hanging="420"/>
      </w:pPr>
    </w:lvl>
  </w:abstractNum>
  <w:abstractNum w:abstractNumId="14">
    <w:nsid w:val="71370E7D"/>
    <w:multiLevelType w:val="multilevel"/>
    <w:tmpl w:val="71370E7D"/>
    <w:lvl w:ilvl="0" w:tentative="0">
      <w:start w:val="1"/>
      <w:numFmt w:val="decimal"/>
      <w:lvlText w:val="%1."/>
      <w:lvlJc w:val="left"/>
      <w:pPr>
        <w:ind w:left="1063" w:hanging="420"/>
      </w:pPr>
    </w:lvl>
    <w:lvl w:ilvl="1" w:tentative="0">
      <w:start w:val="1"/>
      <w:numFmt w:val="lowerLetter"/>
      <w:lvlText w:val="%2)"/>
      <w:lvlJc w:val="left"/>
      <w:pPr>
        <w:ind w:left="1483" w:hanging="420"/>
      </w:pPr>
    </w:lvl>
    <w:lvl w:ilvl="2" w:tentative="0">
      <w:start w:val="1"/>
      <w:numFmt w:val="lowerRoman"/>
      <w:lvlText w:val="%3."/>
      <w:lvlJc w:val="right"/>
      <w:pPr>
        <w:ind w:left="1903" w:hanging="420"/>
      </w:pPr>
    </w:lvl>
    <w:lvl w:ilvl="3" w:tentative="0">
      <w:start w:val="1"/>
      <w:numFmt w:val="decimal"/>
      <w:lvlText w:val="%4."/>
      <w:lvlJc w:val="left"/>
      <w:pPr>
        <w:ind w:left="2323" w:hanging="420"/>
      </w:pPr>
    </w:lvl>
    <w:lvl w:ilvl="4" w:tentative="0">
      <w:start w:val="1"/>
      <w:numFmt w:val="lowerLetter"/>
      <w:lvlText w:val="%5)"/>
      <w:lvlJc w:val="left"/>
      <w:pPr>
        <w:ind w:left="2743" w:hanging="420"/>
      </w:pPr>
    </w:lvl>
    <w:lvl w:ilvl="5" w:tentative="0">
      <w:start w:val="1"/>
      <w:numFmt w:val="lowerRoman"/>
      <w:lvlText w:val="%6."/>
      <w:lvlJc w:val="right"/>
      <w:pPr>
        <w:ind w:left="3163" w:hanging="420"/>
      </w:pPr>
    </w:lvl>
    <w:lvl w:ilvl="6" w:tentative="0">
      <w:start w:val="1"/>
      <w:numFmt w:val="decimal"/>
      <w:lvlText w:val="%7."/>
      <w:lvlJc w:val="left"/>
      <w:pPr>
        <w:ind w:left="3583" w:hanging="420"/>
      </w:pPr>
    </w:lvl>
    <w:lvl w:ilvl="7" w:tentative="0">
      <w:start w:val="1"/>
      <w:numFmt w:val="lowerLetter"/>
      <w:lvlText w:val="%8)"/>
      <w:lvlJc w:val="left"/>
      <w:pPr>
        <w:ind w:left="4003" w:hanging="420"/>
      </w:pPr>
    </w:lvl>
    <w:lvl w:ilvl="8" w:tentative="0">
      <w:start w:val="1"/>
      <w:numFmt w:val="lowerRoman"/>
      <w:lvlText w:val="%9."/>
      <w:lvlJc w:val="right"/>
      <w:pPr>
        <w:ind w:left="4423" w:hanging="420"/>
      </w:pPr>
    </w:lvl>
  </w:abstractNum>
  <w:num w:numId="1">
    <w:abstractNumId w:val="3"/>
  </w:num>
  <w:num w:numId="2">
    <w:abstractNumId w:val="12"/>
  </w:num>
  <w:num w:numId="3">
    <w:abstractNumId w:val="4"/>
  </w:num>
  <w:num w:numId="4">
    <w:abstractNumId w:val="13"/>
  </w:num>
  <w:num w:numId="5">
    <w:abstractNumId w:val="2"/>
  </w:num>
  <w:num w:numId="6">
    <w:abstractNumId w:val="7"/>
  </w:num>
  <w:num w:numId="7">
    <w:abstractNumId w:val="5"/>
  </w:num>
  <w:num w:numId="8">
    <w:abstractNumId w:val="10"/>
  </w:num>
  <w:num w:numId="9">
    <w:abstractNumId w:val="8"/>
  </w:num>
  <w:num w:numId="10">
    <w:abstractNumId w:val="11"/>
  </w:num>
  <w:num w:numId="11">
    <w:abstractNumId w:val="9"/>
  </w:num>
  <w:num w:numId="12">
    <w:abstractNumId w:val="1"/>
  </w:num>
  <w:num w:numId="13">
    <w:abstractNumId w:val="14"/>
  </w:num>
  <w:num w:numId="14">
    <w:abstractNumId w:val="0"/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03E40"/>
    <w:rsid w:val="00007ABB"/>
    <w:rsid w:val="0003261F"/>
    <w:rsid w:val="000345A8"/>
    <w:rsid w:val="0004193E"/>
    <w:rsid w:val="000611DA"/>
    <w:rsid w:val="00076A28"/>
    <w:rsid w:val="000A5574"/>
    <w:rsid w:val="000B6CE8"/>
    <w:rsid w:val="000C331F"/>
    <w:rsid w:val="000D516D"/>
    <w:rsid w:val="000F4E28"/>
    <w:rsid w:val="00101460"/>
    <w:rsid w:val="00123CF5"/>
    <w:rsid w:val="00127567"/>
    <w:rsid w:val="0014087A"/>
    <w:rsid w:val="0015401F"/>
    <w:rsid w:val="0018351A"/>
    <w:rsid w:val="0018373B"/>
    <w:rsid w:val="00183BA1"/>
    <w:rsid w:val="001A4BE5"/>
    <w:rsid w:val="001E7DD2"/>
    <w:rsid w:val="001F3D55"/>
    <w:rsid w:val="001F4A65"/>
    <w:rsid w:val="002203E4"/>
    <w:rsid w:val="00220757"/>
    <w:rsid w:val="00223B93"/>
    <w:rsid w:val="00231D3D"/>
    <w:rsid w:val="00237F1E"/>
    <w:rsid w:val="00241C7A"/>
    <w:rsid w:val="0024782F"/>
    <w:rsid w:val="0026382A"/>
    <w:rsid w:val="00264D05"/>
    <w:rsid w:val="002705A5"/>
    <w:rsid w:val="0028410F"/>
    <w:rsid w:val="002A046B"/>
    <w:rsid w:val="002E454B"/>
    <w:rsid w:val="002F3786"/>
    <w:rsid w:val="00314945"/>
    <w:rsid w:val="00330487"/>
    <w:rsid w:val="00334D2E"/>
    <w:rsid w:val="003419D0"/>
    <w:rsid w:val="00351220"/>
    <w:rsid w:val="003769C9"/>
    <w:rsid w:val="00377D51"/>
    <w:rsid w:val="003A57CB"/>
    <w:rsid w:val="003A5EEF"/>
    <w:rsid w:val="003B7C15"/>
    <w:rsid w:val="003F2D29"/>
    <w:rsid w:val="003F3D2A"/>
    <w:rsid w:val="00435354"/>
    <w:rsid w:val="00460F9A"/>
    <w:rsid w:val="004741BA"/>
    <w:rsid w:val="00495196"/>
    <w:rsid w:val="00495BE1"/>
    <w:rsid w:val="004B508D"/>
    <w:rsid w:val="004C2A6A"/>
    <w:rsid w:val="004E50A7"/>
    <w:rsid w:val="00502696"/>
    <w:rsid w:val="00510A78"/>
    <w:rsid w:val="00511514"/>
    <w:rsid w:val="00515778"/>
    <w:rsid w:val="00531861"/>
    <w:rsid w:val="0053356E"/>
    <w:rsid w:val="00536989"/>
    <w:rsid w:val="00541F4E"/>
    <w:rsid w:val="00565EFA"/>
    <w:rsid w:val="0059730A"/>
    <w:rsid w:val="005A3C7B"/>
    <w:rsid w:val="005D4062"/>
    <w:rsid w:val="005D50C4"/>
    <w:rsid w:val="00627357"/>
    <w:rsid w:val="00634EEB"/>
    <w:rsid w:val="00637B91"/>
    <w:rsid w:val="00642115"/>
    <w:rsid w:val="0068759B"/>
    <w:rsid w:val="00693DDB"/>
    <w:rsid w:val="006C79E4"/>
    <w:rsid w:val="006D6905"/>
    <w:rsid w:val="006E1547"/>
    <w:rsid w:val="006F4D4A"/>
    <w:rsid w:val="00705687"/>
    <w:rsid w:val="0078762C"/>
    <w:rsid w:val="007C1228"/>
    <w:rsid w:val="007D0CBD"/>
    <w:rsid w:val="007D2C62"/>
    <w:rsid w:val="007E1802"/>
    <w:rsid w:val="00803907"/>
    <w:rsid w:val="0080460D"/>
    <w:rsid w:val="0086662F"/>
    <w:rsid w:val="0089749A"/>
    <w:rsid w:val="008D22C4"/>
    <w:rsid w:val="008E1D24"/>
    <w:rsid w:val="008F1950"/>
    <w:rsid w:val="008F2A04"/>
    <w:rsid w:val="00904026"/>
    <w:rsid w:val="00907FD5"/>
    <w:rsid w:val="009176A9"/>
    <w:rsid w:val="00926E28"/>
    <w:rsid w:val="00927F21"/>
    <w:rsid w:val="009631AA"/>
    <w:rsid w:val="009C35B6"/>
    <w:rsid w:val="009E3028"/>
    <w:rsid w:val="009E4BB8"/>
    <w:rsid w:val="009F4697"/>
    <w:rsid w:val="00A16CD1"/>
    <w:rsid w:val="00A2167E"/>
    <w:rsid w:val="00A2395C"/>
    <w:rsid w:val="00A41B14"/>
    <w:rsid w:val="00A62E57"/>
    <w:rsid w:val="00A81421"/>
    <w:rsid w:val="00A824B3"/>
    <w:rsid w:val="00A97C79"/>
    <w:rsid w:val="00AD53D2"/>
    <w:rsid w:val="00B0054D"/>
    <w:rsid w:val="00B2745F"/>
    <w:rsid w:val="00B726D0"/>
    <w:rsid w:val="00BA4654"/>
    <w:rsid w:val="00BB4513"/>
    <w:rsid w:val="00BC7A8A"/>
    <w:rsid w:val="00BF4A98"/>
    <w:rsid w:val="00C06026"/>
    <w:rsid w:val="00C1551A"/>
    <w:rsid w:val="00C35EAD"/>
    <w:rsid w:val="00C55159"/>
    <w:rsid w:val="00C957CE"/>
    <w:rsid w:val="00CA6417"/>
    <w:rsid w:val="00CB32D9"/>
    <w:rsid w:val="00CC091D"/>
    <w:rsid w:val="00CD5706"/>
    <w:rsid w:val="00D11ED2"/>
    <w:rsid w:val="00D23741"/>
    <w:rsid w:val="00D44F7C"/>
    <w:rsid w:val="00D5064F"/>
    <w:rsid w:val="00D56366"/>
    <w:rsid w:val="00D66B10"/>
    <w:rsid w:val="00D7714C"/>
    <w:rsid w:val="00D87CED"/>
    <w:rsid w:val="00DA317E"/>
    <w:rsid w:val="00DD7C33"/>
    <w:rsid w:val="00DE57D1"/>
    <w:rsid w:val="00E01066"/>
    <w:rsid w:val="00E2659A"/>
    <w:rsid w:val="00E309B7"/>
    <w:rsid w:val="00E40C37"/>
    <w:rsid w:val="00E43CF6"/>
    <w:rsid w:val="00E50207"/>
    <w:rsid w:val="00E5472B"/>
    <w:rsid w:val="00EA0C95"/>
    <w:rsid w:val="00EA3D65"/>
    <w:rsid w:val="00ED1386"/>
    <w:rsid w:val="00ED6919"/>
    <w:rsid w:val="00F1489E"/>
    <w:rsid w:val="00F22040"/>
    <w:rsid w:val="00F23B8D"/>
    <w:rsid w:val="00F27113"/>
    <w:rsid w:val="00F50592"/>
    <w:rsid w:val="00F54843"/>
    <w:rsid w:val="00F566AE"/>
    <w:rsid w:val="00F93159"/>
    <w:rsid w:val="00F93738"/>
    <w:rsid w:val="00FA59FE"/>
    <w:rsid w:val="00FD1FA7"/>
    <w:rsid w:val="00FF0866"/>
    <w:rsid w:val="0295631E"/>
    <w:rsid w:val="0B1C2F36"/>
    <w:rsid w:val="11811943"/>
    <w:rsid w:val="16603343"/>
    <w:rsid w:val="19FB7AAE"/>
    <w:rsid w:val="21F27BBF"/>
    <w:rsid w:val="2A5572D7"/>
    <w:rsid w:val="2D9400E4"/>
    <w:rsid w:val="2F3E32C4"/>
    <w:rsid w:val="2FBC1C00"/>
    <w:rsid w:val="319C0EDE"/>
    <w:rsid w:val="32DF4147"/>
    <w:rsid w:val="330F2A27"/>
    <w:rsid w:val="33E35607"/>
    <w:rsid w:val="380172A6"/>
    <w:rsid w:val="45C21DFF"/>
    <w:rsid w:val="4AC20ADF"/>
    <w:rsid w:val="4EFF7DEE"/>
    <w:rsid w:val="52B453A5"/>
    <w:rsid w:val="5992312D"/>
    <w:rsid w:val="5AED79B9"/>
    <w:rsid w:val="5E4678CF"/>
    <w:rsid w:val="5E9D4AB1"/>
    <w:rsid w:val="5F6153F7"/>
    <w:rsid w:val="61DB6B32"/>
    <w:rsid w:val="61EF707C"/>
    <w:rsid w:val="64017842"/>
    <w:rsid w:val="6EB16069"/>
    <w:rsid w:val="6F1C560D"/>
    <w:rsid w:val="747D3712"/>
    <w:rsid w:val="7CE84A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0" w:semiHidden="0" w:name="annotation reference"/>
    <w:lsdException w:uiPriority="99" w:name="line number"/>
    <w:lsdException w:qFormat="1" w:unhideWhenUsed="0" w:uiPriority="0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name="Body Text"/>
    <w:lsdException w:qFormat="1" w:unhideWhenUsed="0" w:uiPriority="0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nhideWhenUsed="0" w:uiPriority="0" w:semiHidden="0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0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qFormat="1"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0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26"/>
    <w:qFormat/>
    <w:uiPriority w:val="9"/>
    <w:pPr>
      <w:spacing w:line="600" w:lineRule="exact"/>
      <w:ind w:firstLine="641"/>
      <w:outlineLvl w:val="0"/>
    </w:pPr>
    <w:rPr>
      <w:rFonts w:ascii="黑体" w:hAnsi="黑体" w:eastAsia="黑体" w:cs="仿宋_GB2312"/>
      <w:color w:val="000000"/>
      <w:sz w:val="32"/>
      <w:szCs w:val="32"/>
    </w:rPr>
  </w:style>
  <w:style w:type="paragraph" w:styleId="3">
    <w:name w:val="heading 2"/>
    <w:basedOn w:val="1"/>
    <w:next w:val="1"/>
    <w:link w:val="27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28"/>
    <w:qFormat/>
    <w:uiPriority w:val="0"/>
    <w:pPr>
      <w:keepNext/>
      <w:keepLines/>
      <w:spacing w:before="260" w:after="260" w:line="416" w:lineRule="auto"/>
      <w:outlineLvl w:val="2"/>
    </w:pPr>
    <w:rPr>
      <w:rFonts w:ascii="Times New Roman" w:hAnsi="Times New Roman"/>
      <w:b/>
      <w:bCs/>
      <w:sz w:val="32"/>
      <w:szCs w:val="32"/>
    </w:rPr>
  </w:style>
  <w:style w:type="character" w:default="1" w:styleId="20">
    <w:name w:val="Default Paragraph Font"/>
    <w:semiHidden/>
    <w:unhideWhenUsed/>
    <w:qFormat/>
    <w:uiPriority w:val="1"/>
  </w:style>
  <w:style w:type="table" w:default="1" w:styleId="1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annotation text"/>
    <w:basedOn w:val="1"/>
    <w:link w:val="29"/>
    <w:unhideWhenUsed/>
    <w:qFormat/>
    <w:uiPriority w:val="99"/>
    <w:pPr>
      <w:jc w:val="left"/>
    </w:pPr>
  </w:style>
  <w:style w:type="paragraph" w:styleId="6">
    <w:name w:val="Body Text"/>
    <w:basedOn w:val="1"/>
    <w:link w:val="39"/>
    <w:semiHidden/>
    <w:unhideWhenUsed/>
    <w:qFormat/>
    <w:uiPriority w:val="99"/>
    <w:pPr>
      <w:spacing w:after="120"/>
    </w:pPr>
  </w:style>
  <w:style w:type="paragraph" w:styleId="7">
    <w:name w:val="Body Text Indent"/>
    <w:basedOn w:val="1"/>
    <w:link w:val="38"/>
    <w:qFormat/>
    <w:uiPriority w:val="0"/>
    <w:pPr>
      <w:ind w:firstLine="540"/>
    </w:pPr>
    <w:rPr>
      <w:rFonts w:ascii="仿宋_GB2312" w:hAnsi="Times New Roman" w:eastAsia="仿宋_GB2312"/>
      <w:sz w:val="30"/>
      <w:szCs w:val="20"/>
    </w:rPr>
  </w:style>
  <w:style w:type="paragraph" w:styleId="8">
    <w:name w:val="Plain Text"/>
    <w:basedOn w:val="1"/>
    <w:link w:val="55"/>
    <w:qFormat/>
    <w:uiPriority w:val="0"/>
    <w:rPr>
      <w:rFonts w:ascii="宋体" w:hAnsi="Courier New" w:cs="Courier New" w:eastAsiaTheme="minorEastAsia"/>
      <w:szCs w:val="21"/>
    </w:rPr>
  </w:style>
  <w:style w:type="paragraph" w:styleId="9">
    <w:name w:val="Date"/>
    <w:basedOn w:val="1"/>
    <w:next w:val="1"/>
    <w:link w:val="36"/>
    <w:qFormat/>
    <w:uiPriority w:val="0"/>
    <w:pPr>
      <w:ind w:left="100" w:leftChars="2500"/>
    </w:pPr>
  </w:style>
  <w:style w:type="paragraph" w:styleId="10">
    <w:name w:val="Balloon Text"/>
    <w:basedOn w:val="1"/>
    <w:link w:val="30"/>
    <w:semiHidden/>
    <w:unhideWhenUsed/>
    <w:qFormat/>
    <w:uiPriority w:val="99"/>
    <w:rPr>
      <w:sz w:val="18"/>
      <w:szCs w:val="18"/>
    </w:rPr>
  </w:style>
  <w:style w:type="paragraph" w:styleId="11">
    <w:name w:val="footer"/>
    <w:basedOn w:val="1"/>
    <w:link w:val="3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12">
    <w:name w:val="header"/>
    <w:basedOn w:val="1"/>
    <w:link w:val="32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13">
    <w:name w:val="Body Text Indent 3"/>
    <w:basedOn w:val="1"/>
    <w:link w:val="33"/>
    <w:qFormat/>
    <w:uiPriority w:val="0"/>
    <w:pPr>
      <w:spacing w:after="120"/>
      <w:ind w:left="420" w:leftChars="200"/>
    </w:pPr>
    <w:rPr>
      <w:sz w:val="16"/>
      <w:szCs w:val="16"/>
    </w:rPr>
  </w:style>
  <w:style w:type="paragraph" w:styleId="14">
    <w:name w:val="HTML Preformatted"/>
    <w:basedOn w:val="1"/>
    <w:link w:val="44"/>
    <w:qFormat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/>
      <w:kern w:val="0"/>
      <w:sz w:val="24"/>
      <w:szCs w:val="24"/>
    </w:rPr>
  </w:style>
  <w:style w:type="paragraph" w:styleId="15">
    <w:name w:val="Normal (Web)"/>
    <w:basedOn w:val="1"/>
    <w:unhideWhenUsed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paragraph" w:styleId="16">
    <w:name w:val="Title"/>
    <w:next w:val="1"/>
    <w:link w:val="47"/>
    <w:qFormat/>
    <w:uiPriority w:val="10"/>
    <w:pPr>
      <w:jc w:val="center"/>
    </w:pPr>
    <w:rPr>
      <w:rFonts w:ascii="方正小标宋简体" w:hAnsi="黑体" w:eastAsia="方正小标宋简体" w:cs="Times New Roman"/>
      <w:color w:val="000000"/>
      <w:kern w:val="2"/>
      <w:sz w:val="36"/>
      <w:szCs w:val="36"/>
      <w:lang w:val="en-US" w:eastAsia="zh-CN" w:bidi="ar-SA"/>
    </w:rPr>
  </w:style>
  <w:style w:type="paragraph" w:styleId="17">
    <w:name w:val="annotation subject"/>
    <w:basedOn w:val="5"/>
    <w:next w:val="5"/>
    <w:link w:val="35"/>
    <w:semiHidden/>
    <w:unhideWhenUsed/>
    <w:qFormat/>
    <w:uiPriority w:val="99"/>
    <w:rPr>
      <w:b/>
      <w:bCs/>
    </w:rPr>
  </w:style>
  <w:style w:type="table" w:styleId="19">
    <w:name w:val="Table Grid"/>
    <w:basedOn w:val="18"/>
    <w:qFormat/>
    <w:uiPriority w:val="59"/>
    <w:rPr>
      <w:rFonts w:ascii="Times New Roman" w:hAnsi="Times New Roman" w:eastAsia="宋体" w:cs="Times New Roman"/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21">
    <w:name w:val="Strong"/>
    <w:qFormat/>
    <w:uiPriority w:val="22"/>
    <w:rPr>
      <w:b/>
      <w:bCs/>
    </w:rPr>
  </w:style>
  <w:style w:type="character" w:styleId="22">
    <w:name w:val="page number"/>
    <w:basedOn w:val="20"/>
    <w:qFormat/>
    <w:uiPriority w:val="0"/>
  </w:style>
  <w:style w:type="character" w:styleId="23">
    <w:name w:val="FollowedHyperlink"/>
    <w:basedOn w:val="20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24">
    <w:name w:val="Hyperlink"/>
    <w:basedOn w:val="20"/>
    <w:unhideWhenUsed/>
    <w:qFormat/>
    <w:uiPriority w:val="99"/>
    <w:rPr>
      <w:color w:val="0000FF" w:themeColor="hyperlink"/>
      <w:u w:val="single"/>
      <w14:textFill>
        <w14:solidFill>
          <w14:schemeClr w14:val="hlink"/>
        </w14:solidFill>
      </w14:textFill>
    </w:rPr>
  </w:style>
  <w:style w:type="character" w:styleId="25">
    <w:name w:val="annotation reference"/>
    <w:basedOn w:val="20"/>
    <w:unhideWhenUsed/>
    <w:qFormat/>
    <w:uiPriority w:val="0"/>
    <w:rPr>
      <w:sz w:val="21"/>
      <w:szCs w:val="21"/>
    </w:rPr>
  </w:style>
  <w:style w:type="character" w:customStyle="1" w:styleId="26">
    <w:name w:val="标题 1 Char"/>
    <w:basedOn w:val="20"/>
    <w:link w:val="2"/>
    <w:qFormat/>
    <w:uiPriority w:val="9"/>
    <w:rPr>
      <w:rFonts w:ascii="黑体" w:hAnsi="黑体" w:eastAsia="黑体" w:cs="仿宋_GB2312"/>
      <w:color w:val="000000"/>
      <w:sz w:val="32"/>
      <w:szCs w:val="32"/>
    </w:rPr>
  </w:style>
  <w:style w:type="character" w:customStyle="1" w:styleId="27">
    <w:name w:val="标题 2 Char"/>
    <w:basedOn w:val="20"/>
    <w:link w:val="3"/>
    <w:qFormat/>
    <w:uiPriority w:val="0"/>
    <w:rPr>
      <w:rFonts w:ascii="Arial" w:hAnsi="Arial" w:eastAsia="黑体" w:cs="Times New Roman"/>
      <w:b/>
      <w:bCs/>
      <w:sz w:val="32"/>
      <w:szCs w:val="32"/>
    </w:rPr>
  </w:style>
  <w:style w:type="character" w:customStyle="1" w:styleId="28">
    <w:name w:val="标题 3 Char"/>
    <w:basedOn w:val="20"/>
    <w:link w:val="4"/>
    <w:qFormat/>
    <w:uiPriority w:val="0"/>
    <w:rPr>
      <w:rFonts w:ascii="Times New Roman" w:hAnsi="Times New Roman" w:eastAsia="宋体" w:cs="Times New Roman"/>
      <w:b/>
      <w:bCs/>
      <w:sz w:val="32"/>
      <w:szCs w:val="32"/>
    </w:rPr>
  </w:style>
  <w:style w:type="character" w:customStyle="1" w:styleId="29">
    <w:name w:val="批注文字 Char"/>
    <w:basedOn w:val="20"/>
    <w:link w:val="5"/>
    <w:qFormat/>
    <w:uiPriority w:val="99"/>
    <w:rPr>
      <w:rFonts w:ascii="Calibri" w:hAnsi="Calibri" w:eastAsia="宋体" w:cs="Times New Roman"/>
    </w:rPr>
  </w:style>
  <w:style w:type="character" w:customStyle="1" w:styleId="30">
    <w:name w:val="批注框文本 Char"/>
    <w:basedOn w:val="20"/>
    <w:link w:val="10"/>
    <w:semiHidden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1">
    <w:name w:val="页脚 Char"/>
    <w:basedOn w:val="20"/>
    <w:link w:val="11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32">
    <w:name w:val="页眉 Char"/>
    <w:basedOn w:val="20"/>
    <w:link w:val="12"/>
    <w:qFormat/>
    <w:uiPriority w:val="0"/>
    <w:rPr>
      <w:rFonts w:ascii="Calibri" w:hAnsi="Calibri" w:eastAsia="宋体" w:cs="Times New Roman"/>
      <w:sz w:val="18"/>
      <w:szCs w:val="18"/>
    </w:rPr>
  </w:style>
  <w:style w:type="character" w:customStyle="1" w:styleId="33">
    <w:name w:val="正文文本缩进 3 Char"/>
    <w:basedOn w:val="20"/>
    <w:link w:val="13"/>
    <w:qFormat/>
    <w:uiPriority w:val="0"/>
    <w:rPr>
      <w:rFonts w:ascii="Calibri" w:hAnsi="Calibri" w:eastAsia="宋体" w:cs="Times New Roman"/>
      <w:sz w:val="16"/>
      <w:szCs w:val="16"/>
    </w:rPr>
  </w:style>
  <w:style w:type="paragraph" w:styleId="34">
    <w:name w:val="No Spacing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customStyle="1" w:styleId="35">
    <w:name w:val="批注主题 Char"/>
    <w:basedOn w:val="29"/>
    <w:link w:val="17"/>
    <w:semiHidden/>
    <w:qFormat/>
    <w:uiPriority w:val="99"/>
    <w:rPr>
      <w:rFonts w:ascii="Calibri" w:hAnsi="Calibri" w:eastAsia="宋体" w:cs="Times New Roman"/>
      <w:b/>
      <w:bCs/>
    </w:rPr>
  </w:style>
  <w:style w:type="character" w:customStyle="1" w:styleId="36">
    <w:name w:val="日期 Char"/>
    <w:basedOn w:val="20"/>
    <w:link w:val="9"/>
    <w:qFormat/>
    <w:uiPriority w:val="0"/>
    <w:rPr>
      <w:rFonts w:ascii="Calibri" w:hAnsi="Calibri" w:eastAsia="宋体" w:cs="Times New Roman"/>
    </w:rPr>
  </w:style>
  <w:style w:type="paragraph" w:customStyle="1" w:styleId="37">
    <w:name w:val="Char Char1"/>
    <w:basedOn w:val="1"/>
    <w:qFormat/>
    <w:uiPriority w:val="0"/>
    <w:rPr>
      <w:rFonts w:ascii="Tahoma" w:hAnsi="Tahoma"/>
      <w:sz w:val="24"/>
      <w:szCs w:val="20"/>
    </w:rPr>
  </w:style>
  <w:style w:type="character" w:customStyle="1" w:styleId="38">
    <w:name w:val="正文文本缩进 Char"/>
    <w:basedOn w:val="20"/>
    <w:link w:val="7"/>
    <w:qFormat/>
    <w:uiPriority w:val="0"/>
    <w:rPr>
      <w:rFonts w:ascii="仿宋_GB2312" w:hAnsi="Times New Roman" w:eastAsia="仿宋_GB2312" w:cs="Times New Roman"/>
      <w:sz w:val="30"/>
      <w:szCs w:val="20"/>
    </w:rPr>
  </w:style>
  <w:style w:type="character" w:customStyle="1" w:styleId="39">
    <w:name w:val="正文文本 Char"/>
    <w:basedOn w:val="20"/>
    <w:link w:val="6"/>
    <w:semiHidden/>
    <w:qFormat/>
    <w:uiPriority w:val="99"/>
    <w:rPr>
      <w:rFonts w:ascii="Calibri" w:hAnsi="Calibri" w:eastAsia="宋体" w:cs="Times New Roman"/>
    </w:rPr>
  </w:style>
  <w:style w:type="paragraph" w:styleId="40">
    <w:name w:val="List Paragraph"/>
    <w:basedOn w:val="1"/>
    <w:qFormat/>
    <w:uiPriority w:val="34"/>
    <w:pPr>
      <w:ind w:firstLine="420" w:firstLineChars="200"/>
    </w:pPr>
  </w:style>
  <w:style w:type="paragraph" w:customStyle="1" w:styleId="41">
    <w:name w:val="列出段落1"/>
    <w:basedOn w:val="1"/>
    <w:unhideWhenUsed/>
    <w:qFormat/>
    <w:uiPriority w:val="99"/>
    <w:pPr>
      <w:ind w:firstLine="420" w:firstLineChars="200"/>
    </w:pPr>
  </w:style>
  <w:style w:type="paragraph" w:customStyle="1" w:styleId="42">
    <w:name w:val="列出段落2"/>
    <w:basedOn w:val="1"/>
    <w:qFormat/>
    <w:uiPriority w:val="0"/>
    <w:pPr>
      <w:ind w:firstLine="420" w:firstLineChars="200"/>
    </w:pPr>
  </w:style>
  <w:style w:type="paragraph" w:customStyle="1" w:styleId="43">
    <w:name w:val="Char Char Char Char Char Char Char Char Char Char Char Char Char"/>
    <w:basedOn w:val="1"/>
    <w:uiPriority w:val="0"/>
    <w:pPr>
      <w:widowControl/>
      <w:spacing w:after="160" w:line="240" w:lineRule="exact"/>
      <w:jc w:val="left"/>
    </w:pPr>
    <w:rPr>
      <w:rFonts w:ascii="Verdana" w:hAnsi="Verdana"/>
      <w:kern w:val="0"/>
      <w:sz w:val="20"/>
      <w:szCs w:val="20"/>
      <w:lang w:eastAsia="en-US"/>
    </w:rPr>
  </w:style>
  <w:style w:type="character" w:customStyle="1" w:styleId="44">
    <w:name w:val="HTML 预设格式 Char"/>
    <w:basedOn w:val="20"/>
    <w:link w:val="14"/>
    <w:qFormat/>
    <w:uiPriority w:val="0"/>
    <w:rPr>
      <w:rFonts w:ascii="宋体" w:hAnsi="宋体" w:eastAsia="宋体" w:cs="Times New Roman"/>
      <w:kern w:val="0"/>
      <w:sz w:val="24"/>
      <w:szCs w:val="24"/>
    </w:rPr>
  </w:style>
  <w:style w:type="paragraph" w:customStyle="1" w:styleId="45">
    <w:name w:val="正文文档"/>
    <w:basedOn w:val="1"/>
    <w:qFormat/>
    <w:uiPriority w:val="0"/>
    <w:pPr>
      <w:widowControl/>
      <w:wordWrap w:val="0"/>
      <w:spacing w:after="200" w:line="360" w:lineRule="auto"/>
      <w:ind w:firstLine="560" w:firstLineChars="200"/>
      <w:jc w:val="left"/>
    </w:pPr>
    <w:rPr>
      <w:rFonts w:ascii="Times New Roman" w:hAnsi="Times New Roman" w:eastAsia="仿宋_GB2312" w:cs="Arial"/>
      <w:kern w:val="0"/>
      <w:sz w:val="28"/>
      <w:szCs w:val="32"/>
    </w:rPr>
  </w:style>
  <w:style w:type="paragraph" w:customStyle="1" w:styleId="46">
    <w:name w:val="主送"/>
    <w:next w:val="1"/>
    <w:qFormat/>
    <w:uiPriority w:val="0"/>
    <w:pPr>
      <w:spacing w:line="600" w:lineRule="exact"/>
    </w:pPr>
    <w:rPr>
      <w:rFonts w:ascii="仿宋" w:hAnsi="仿宋" w:eastAsia="仿宋_GB2312" w:cs="Times New Roman"/>
      <w:b/>
      <w:kern w:val="2"/>
      <w:sz w:val="32"/>
      <w:szCs w:val="28"/>
      <w:lang w:val="en-US" w:eastAsia="zh-CN" w:bidi="ar-SA"/>
    </w:rPr>
  </w:style>
  <w:style w:type="character" w:customStyle="1" w:styleId="47">
    <w:name w:val="标题 Char"/>
    <w:basedOn w:val="20"/>
    <w:link w:val="16"/>
    <w:qFormat/>
    <w:uiPriority w:val="10"/>
    <w:rPr>
      <w:rFonts w:ascii="方正小标宋简体" w:hAnsi="黑体" w:eastAsia="方正小标宋简体" w:cs="Times New Roman"/>
      <w:color w:val="000000"/>
      <w:sz w:val="36"/>
      <w:szCs w:val="36"/>
    </w:rPr>
  </w:style>
  <w:style w:type="paragraph" w:customStyle="1" w:styleId="48">
    <w:name w:val="Revision"/>
    <w:hidden/>
    <w:semiHidden/>
    <w:qFormat/>
    <w:uiPriority w:val="99"/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customStyle="1" w:styleId="49">
    <w:name w:val="Normal_13"/>
    <w:qFormat/>
    <w:uiPriority w:val="0"/>
    <w:rPr>
      <w:rFonts w:ascii="Times New Roman" w:hAnsi="Times New Roman" w:eastAsia="宋体" w:cs="Times New Roman"/>
      <w:kern w:val="0"/>
      <w:sz w:val="20"/>
      <w:szCs w:val="20"/>
      <w:lang w:val="en-US" w:eastAsia="zh-CN" w:bidi="ar-SA"/>
    </w:rPr>
  </w:style>
  <w:style w:type="paragraph" w:customStyle="1" w:styleId="50">
    <w:name w:val="kx-nei"/>
    <w:qFormat/>
    <w:uiPriority w:val="0"/>
    <w:pPr>
      <w:widowControl w:val="0"/>
      <w:spacing w:line="600" w:lineRule="exact"/>
      <w:ind w:firstLine="200" w:firstLineChars="200"/>
      <w:jc w:val="both"/>
    </w:pPr>
    <w:rPr>
      <w:rFonts w:ascii="仿宋_GB2312" w:hAnsi="仿宋" w:eastAsia="仿宋_GB2312" w:cs="Times New Roman"/>
      <w:kern w:val="2"/>
      <w:sz w:val="32"/>
      <w:szCs w:val="32"/>
      <w:lang w:val="en-US" w:eastAsia="zh-CN" w:bidi="ar-SA"/>
    </w:rPr>
  </w:style>
  <w:style w:type="paragraph" w:customStyle="1" w:styleId="51">
    <w:name w:val="kx-nei-H"/>
    <w:basedOn w:val="50"/>
    <w:qFormat/>
    <w:uiPriority w:val="0"/>
    <w:rPr>
      <w:rFonts w:ascii="黑体" w:hAnsi="黑体" w:eastAsia="黑体"/>
    </w:rPr>
  </w:style>
  <w:style w:type="character" w:customStyle="1" w:styleId="52">
    <w:name w:val="apple-converted-space"/>
    <w:qFormat/>
    <w:uiPriority w:val="0"/>
  </w:style>
  <w:style w:type="character" w:customStyle="1" w:styleId="53">
    <w:name w:val="zsw Char"/>
    <w:link w:val="54"/>
    <w:qFormat/>
    <w:uiPriority w:val="0"/>
    <w:rPr>
      <w:rFonts w:ascii="仿宋_GB2312" w:eastAsia="仿宋_GB2312"/>
      <w:color w:val="000000"/>
      <w:sz w:val="28"/>
      <w:szCs w:val="21"/>
    </w:rPr>
  </w:style>
  <w:style w:type="paragraph" w:customStyle="1" w:styleId="54">
    <w:name w:val="zsw"/>
    <w:basedOn w:val="1"/>
    <w:link w:val="53"/>
    <w:qFormat/>
    <w:uiPriority w:val="0"/>
    <w:pPr>
      <w:ind w:firstLine="560" w:firstLineChars="200"/>
    </w:pPr>
    <w:rPr>
      <w:rFonts w:ascii="仿宋_GB2312" w:eastAsia="仿宋_GB2312" w:hAnsiTheme="minorHAnsi" w:cstheme="minorBidi"/>
      <w:color w:val="000000"/>
      <w:sz w:val="28"/>
      <w:szCs w:val="21"/>
    </w:rPr>
  </w:style>
  <w:style w:type="character" w:customStyle="1" w:styleId="55">
    <w:name w:val="纯文本 Char"/>
    <w:link w:val="8"/>
    <w:qFormat/>
    <w:uiPriority w:val="0"/>
    <w:rPr>
      <w:rFonts w:ascii="宋体" w:hAnsi="Courier New" w:cs="Courier New"/>
      <w:szCs w:val="21"/>
    </w:rPr>
  </w:style>
  <w:style w:type="character" w:customStyle="1" w:styleId="56">
    <w:name w:val="纯文本 Char1"/>
    <w:basedOn w:val="20"/>
    <w:semiHidden/>
    <w:qFormat/>
    <w:uiPriority w:val="99"/>
    <w:rPr>
      <w:rFonts w:ascii="宋体" w:hAnsi="Courier New" w:eastAsia="宋体" w:cs="Courier New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image" Target="media/image1.emf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29</Pages>
  <Words>7997</Words>
  <Characters>9044</Characters>
  <Lines>112</Lines>
  <Paragraphs>31</Paragraphs>
  <TotalTime>10</TotalTime>
  <ScaleCrop>false</ScaleCrop>
  <LinksUpToDate>false</LinksUpToDate>
  <CharactersWithSpaces>11549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2024-01-31T00:22:00Z</dcterms:created>
  <dc:creator>马国芳</dc:creator>
  <cp:lastModifiedBy>石静</cp:lastModifiedBy>
  <cp:lastPrinted>2026-02-04T07:43:00Z</cp:lastPrinted>
  <dcterms:modified xsi:type="dcterms:W3CDTF">2026-03-12T02:23:12Z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7C67AA24720B45D586E180774C24F78C</vt:lpwstr>
  </property>
  <property fmtid="{D5CDD505-2E9C-101B-9397-08002B2CF9AE}" pid="4" name="KSOTemplateDocerSaveRecord">
    <vt:lpwstr>eyJoZGlkIjoiZDlhYTgzMDkzNWEwYmY1YjA3OGJjODNjYjg0YjM3YzEiLCJ1c2VySWQiOiI0MzU4NDYyMjIifQ==</vt:lpwstr>
  </property>
</Properties>
</file>